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956"/>
        <w:gridCol w:w="1163"/>
        <w:gridCol w:w="283"/>
        <w:gridCol w:w="1828"/>
        <w:gridCol w:w="1258"/>
        <w:gridCol w:w="953"/>
        <w:gridCol w:w="3191"/>
        <w:gridCol w:w="248"/>
      </w:tblGrid>
      <w:tr w:rsidR="003826EB" w:rsidRPr="003826EB" w:rsidTr="003826EB">
        <w:trPr>
          <w:trHeight w:val="255"/>
        </w:trPr>
        <w:tc>
          <w:tcPr>
            <w:tcW w:w="1956" w:type="dxa"/>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Level</w:t>
            </w:r>
          </w:p>
        </w:tc>
        <w:tc>
          <w:tcPr>
            <w:tcW w:w="1163" w:type="dxa"/>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283" w:type="dxa"/>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3086" w:type="dxa"/>
            <w:gridSpan w:val="2"/>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Provinsi Sulawesi Tengah</w:t>
            </w:r>
          </w:p>
        </w:tc>
        <w:tc>
          <w:tcPr>
            <w:tcW w:w="953" w:type="dxa"/>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3191" w:type="dxa"/>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248" w:type="dxa"/>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255"/>
        </w:trPr>
        <w:tc>
          <w:tcPr>
            <w:tcW w:w="3119" w:type="dxa"/>
            <w:gridSpan w:val="2"/>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Komponen</w:t>
            </w:r>
          </w:p>
        </w:tc>
        <w:tc>
          <w:tcPr>
            <w:tcW w:w="283" w:type="dxa"/>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3086" w:type="dxa"/>
            <w:gridSpan w:val="2"/>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Implementasi Kinerja</w:t>
            </w:r>
          </w:p>
        </w:tc>
        <w:tc>
          <w:tcPr>
            <w:tcW w:w="953" w:type="dxa"/>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3191" w:type="dxa"/>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248" w:type="dxa"/>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255"/>
        </w:trPr>
        <w:tc>
          <w:tcPr>
            <w:tcW w:w="1956" w:type="dxa"/>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163" w:type="dxa"/>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283" w:type="dxa"/>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828" w:type="dxa"/>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258" w:type="dxa"/>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953" w:type="dxa"/>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3191" w:type="dxa"/>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248" w:type="dxa"/>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255"/>
        </w:trPr>
        <w:tc>
          <w:tcPr>
            <w:tcW w:w="3402" w:type="dxa"/>
            <w:gridSpan w:val="3"/>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Isu dalam PGA REDD+</w:t>
            </w:r>
          </w:p>
        </w:tc>
        <w:tc>
          <w:tcPr>
            <w:tcW w:w="7230" w:type="dxa"/>
            <w:gridSpan w:val="4"/>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300"/>
        </w:trPr>
        <w:tc>
          <w:tcPr>
            <w:tcW w:w="3119" w:type="dxa"/>
            <w:gridSpan w:val="2"/>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Indikator</w:t>
            </w:r>
          </w:p>
        </w:tc>
        <w:tc>
          <w:tcPr>
            <w:tcW w:w="283" w:type="dxa"/>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7478" w:type="dxa"/>
            <w:gridSpan w:val="5"/>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a. Tingkat penerimaan (legitimasi) atas dokumen RTRWP/RTRWK/Kehutanan</w:t>
            </w:r>
          </w:p>
        </w:tc>
      </w:tr>
      <w:tr w:rsidR="003826EB" w:rsidRPr="003826EB" w:rsidTr="003826EB">
        <w:trPr>
          <w:trHeight w:val="465"/>
        </w:trPr>
        <w:tc>
          <w:tcPr>
            <w:tcW w:w="3119" w:type="dxa"/>
            <w:gridSpan w:val="2"/>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Wawancara – Sumber informasi</w:t>
            </w:r>
          </w:p>
        </w:tc>
        <w:tc>
          <w:tcPr>
            <w:tcW w:w="283" w:type="dxa"/>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7478" w:type="dxa"/>
            <w:gridSpan w:val="5"/>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Menhut/bappenas) Kepala SKPD, dan Kepala Bagian Perencanaan (Biro kepegawaian dinas)</w:t>
            </w:r>
          </w:p>
        </w:tc>
      </w:tr>
    </w:tbl>
    <w:p w:rsidR="00D74DB4" w:rsidRDefault="00D74DB4"/>
    <w:tbl>
      <w:tblPr>
        <w:tblW w:w="4953" w:type="pct"/>
        <w:tblInd w:w="103" w:type="dxa"/>
        <w:tblLayout w:type="fixed"/>
        <w:tblLook w:val="04A0"/>
      </w:tblPr>
      <w:tblGrid>
        <w:gridCol w:w="714"/>
        <w:gridCol w:w="1469"/>
        <w:gridCol w:w="1799"/>
        <w:gridCol w:w="1074"/>
        <w:gridCol w:w="1186"/>
        <w:gridCol w:w="1188"/>
        <w:gridCol w:w="2073"/>
        <w:gridCol w:w="1382"/>
      </w:tblGrid>
      <w:tr w:rsidR="003826EB" w:rsidRPr="003826EB" w:rsidTr="003826E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186"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Dokumen</w:t>
            </w:r>
          </w:p>
        </w:tc>
        <w:tc>
          <w:tcPr>
            <w:tcW w:w="1188"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Dokumen</w:t>
            </w:r>
          </w:p>
        </w:tc>
        <w:tc>
          <w:tcPr>
            <w:tcW w:w="2073"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Wawancara</w:t>
            </w:r>
          </w:p>
        </w:tc>
      </w:tr>
      <w:tr w:rsidR="003826EB" w:rsidRPr="003826EB" w:rsidTr="003826EB">
        <w:trPr>
          <w:trHeight w:val="388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FIa1</w:t>
            </w:r>
          </w:p>
        </w:tc>
        <w:tc>
          <w:tcPr>
            <w:tcW w:w="1469" w:type="dxa"/>
            <w:vMerge w:val="restart"/>
            <w:tcBorders>
              <w:top w:val="nil"/>
              <w:left w:val="single" w:sz="4" w:space="0" w:color="auto"/>
              <w:bottom w:val="single" w:sz="4" w:space="0" w:color="000000"/>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799" w:type="dxa"/>
            <w:vMerge w:val="restart"/>
            <w:tcBorders>
              <w:top w:val="nil"/>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Bagaimana (tingkat) penerimaan (legitimasi) </w:t>
            </w:r>
            <w:r w:rsidRPr="003826EB">
              <w:rPr>
                <w:rFonts w:ascii="Times New Roman" w:eastAsia="Times New Roman" w:hAnsi="Times New Roman" w:cs="Times New Roman"/>
                <w:i/>
                <w:iCs/>
                <w:color w:val="000000"/>
                <w:sz w:val="20"/>
                <w:szCs w:val="20"/>
                <w:lang w:eastAsia="id-ID"/>
              </w:rPr>
              <w:t xml:space="preserve">stakeholder </w:t>
            </w:r>
            <w:r w:rsidRPr="003826EB">
              <w:rPr>
                <w:rFonts w:ascii="Times New Roman" w:eastAsia="Times New Roman" w:hAnsi="Times New Roman" w:cs="Times New Roman"/>
                <w:color w:val="000000"/>
                <w:sz w:val="20"/>
                <w:szCs w:val="20"/>
                <w:lang w:eastAsia="id-ID"/>
              </w:rPr>
              <w:t>atas dokumen RTRWP/RTRWK/Kehutanan?</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Kehutanan</w:t>
            </w:r>
          </w:p>
        </w:tc>
        <w:tc>
          <w:tcPr>
            <w:tcW w:w="1186"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Saat sekarang (2012) sedang dibahas di di kementerian Kehutanan terkait dengan rencana tata ruang wilayah dan Kehutanan provinsi Sulteng. Sebenarnyya pemerintah daerah sendiri juga mendapatkan kesulitan karena jika mengusulkan kawasan yang  sudah dihuni masyarakat untuk diputihkan prosesnya harus  melengkapi dokumen2 yang sulit diperoleh. Masyarakat sendiri mengklaim bahwa mereka telah menghuni wilayah tersebut sejak dulu, mengapa dimasukkan dalam wilayah hutan, untuk mencari data pendukungnya cukup sulit.Yang selama ini kawasan hutan yang dihuni masyarakat dan dijadikan sebagai kampung kurang lebih sekitar 60% kawasan </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3</w:t>
            </w:r>
          </w:p>
        </w:tc>
      </w:tr>
      <w:tr w:rsidR="003826EB" w:rsidRPr="003826EB" w:rsidTr="003826EB">
        <w:trPr>
          <w:trHeight w:val="4005"/>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PU</w:t>
            </w:r>
          </w:p>
        </w:tc>
        <w:tc>
          <w:tcPr>
            <w:tcW w:w="1186"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Sulteng belum memiliki RTRW, saat ini masih dalam pembahasan tetapi sudah akan disyahkan, yang kemungkinan pertengahan bulan Juli akan ada sidang paripurna untuk mengesyahkan RTRW Sulteng. Jika saya ikuti dalam pertemuan-pertemuan pembahasan Draft yang mengundang berbagai stakeholder penerimaan dari berbagai stakeholder sudah cukup, tetapi memang masih ada beberapa LSM terutama yang masih belum puas, hal ini saya simak dari argumen-argumen yang dilontarkan, akan tetapi karena mayoritas menerima maka akhirnya juga menerima</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3</w:t>
            </w:r>
          </w:p>
        </w:tc>
      </w:tr>
      <w:tr w:rsidR="003826EB" w:rsidRPr="003826EB" w:rsidTr="003826EB">
        <w:trPr>
          <w:trHeight w:val="3390"/>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LSM</w:t>
            </w:r>
          </w:p>
        </w:tc>
        <w:tc>
          <w:tcPr>
            <w:tcW w:w="1186"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Terus terang menurut saya RTRW yang sedanga dalam pembahasan ini sama sekali tidak partisipatif dalam menyusunannya. Sehingga yang tertuang didalamnya tidak konsisten, hal ini karena RTRW hanya untuk pajangan bukan untuk melakukan sebuah perubahan. Dalam RTRW yang sedang disusun kepentingan investasi lebih diutamakan dibandingkan dengan kepentingan kelestarian lingkungan maupun akomodasi hak-hak masyarakat. Terkait dengan kehutanan, perubahan fungsi hutan belum mengakomodasi untuk kepentingan hak masyarakat akan tetapi lebih pada para investor.</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r>
      <w:tr w:rsidR="003826EB" w:rsidRPr="003826EB" w:rsidTr="003826EB">
        <w:trPr>
          <w:trHeight w:val="3405"/>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Organisasi Masyarakat Adat Lokal</w:t>
            </w:r>
          </w:p>
        </w:tc>
        <w:tc>
          <w:tcPr>
            <w:tcW w:w="1186"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RTRW di Sulteng memang belum disyahkan, tetapi memang ada dokumen-dokumen yang kita punya saat melakukan pembahasan, belum tahu apakah kemudian saat sekarang terjadi banyak berubahan atau tidak</w:t>
            </w:r>
            <w:r w:rsidRPr="003826EB">
              <w:rPr>
                <w:rFonts w:ascii="Times New Roman" w:eastAsia="Times New Roman" w:hAnsi="Times New Roman" w:cs="Times New Roman"/>
                <w:color w:val="000000"/>
                <w:sz w:val="20"/>
                <w:szCs w:val="20"/>
                <w:lang w:eastAsia="id-ID"/>
              </w:rPr>
              <w:br/>
              <w:t>- Tentang penerimaan stakeholder memang masing ada pertentangan-pertentangan , hal ini dikarenakan sosialisasi yang dilakukan masih kurang optimal.</w:t>
            </w:r>
            <w:r w:rsidRPr="003826EB">
              <w:rPr>
                <w:rFonts w:ascii="Times New Roman" w:eastAsia="Times New Roman" w:hAnsi="Times New Roman" w:cs="Times New Roman"/>
                <w:color w:val="000000"/>
                <w:sz w:val="20"/>
                <w:szCs w:val="20"/>
                <w:lang w:eastAsia="id-ID"/>
              </w:rPr>
              <w:br/>
              <w:t>- Seharusnya masing-masing stakeholder melakukan sosialsiasi kepada komunitasnya sehingga mendapatkan tanggapan dan masukan untuk dokumen RTRW</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3</w:t>
            </w:r>
          </w:p>
        </w:tc>
      </w:tr>
      <w:tr w:rsidR="003826EB" w:rsidRPr="003826EB" w:rsidTr="003826EB">
        <w:trPr>
          <w:trHeight w:val="3165"/>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Asosiasi Pengusaha</w:t>
            </w:r>
          </w:p>
        </w:tc>
        <w:tc>
          <w:tcPr>
            <w:tcW w:w="1186"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Setahu saya PRTRW belum pernah dilakukan konsultasi publik sehingga kami tidak tahu seberapa besar penerimaan para stakeholder</w:t>
            </w:r>
            <w:r w:rsidRPr="003826EB">
              <w:rPr>
                <w:rFonts w:ascii="Times New Roman" w:eastAsia="Times New Roman" w:hAnsi="Times New Roman" w:cs="Times New Roman"/>
                <w:color w:val="000000"/>
                <w:sz w:val="20"/>
                <w:szCs w:val="20"/>
                <w:lang w:eastAsia="id-ID"/>
              </w:rPr>
              <w:br/>
              <w:t>• Pada saat pembahasan memang kami diundang , bahkan APHI pusat juga ikut diundang dalam pembahasannya, tetapi pada saat-saat terakhir akan di syahkan belum pernah saya diundang , termasuk dalam konsultasi publik</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r>
      <w:tr w:rsidR="003826EB" w:rsidRPr="003826EB" w:rsidTr="003826EB">
        <w:trPr>
          <w:trHeight w:val="1410"/>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Akademisi</w:t>
            </w:r>
          </w:p>
        </w:tc>
        <w:tc>
          <w:tcPr>
            <w:tcW w:w="1186"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RTRW di Sulteng belum disyahkan, dalam pembahasan terakhir yang pernah saya ikuti memang masih banyak pro-kontra, tapi untuk selanjutnya saya kurang tahu karena belum ada undangan lagi untuk membahasnya.</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r>
      <w:tr w:rsidR="003826EB" w:rsidRPr="003826EB" w:rsidTr="003826EB">
        <w:trPr>
          <w:trHeight w:val="555"/>
        </w:trPr>
        <w:tc>
          <w:tcPr>
            <w:tcW w:w="71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469"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79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2073"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525"/>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Indikator</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6903" w:type="dxa"/>
            <w:gridSpan w:val="5"/>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b. Jumlah luas  kawasan hutan yang dikukuhkan dan diterima oleh para pihak</w:t>
            </w:r>
          </w:p>
        </w:tc>
      </w:tr>
      <w:tr w:rsidR="003826EB" w:rsidRPr="003826EB" w:rsidTr="003826EB">
        <w:trPr>
          <w:trHeight w:val="126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Wawancara – Sumber informasi</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single" w:sz="4" w:space="0" w:color="auto"/>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3826EB" w:rsidRPr="003826EB" w:rsidTr="003826EB">
        <w:trPr>
          <w:trHeight w:val="72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Dokumen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Dokumen</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Wawancara</w:t>
            </w:r>
          </w:p>
        </w:tc>
      </w:tr>
      <w:tr w:rsidR="003826EB" w:rsidRPr="003826EB" w:rsidTr="003826EB">
        <w:trPr>
          <w:trHeight w:val="2190"/>
        </w:trPr>
        <w:tc>
          <w:tcPr>
            <w:tcW w:w="714" w:type="dxa"/>
            <w:tcBorders>
              <w:top w:val="nil"/>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FIb1</w:t>
            </w:r>
          </w:p>
        </w:tc>
        <w:tc>
          <w:tcPr>
            <w:tcW w:w="1469" w:type="dxa"/>
            <w:tcBorders>
              <w:top w:val="nil"/>
              <w:left w:val="nil"/>
              <w:bottom w:val="nil"/>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Jumlah luas kawasan hutan yang dikukuhkan dan dite-rima oleh para pihak</w:t>
            </w:r>
          </w:p>
        </w:tc>
        <w:tc>
          <w:tcPr>
            <w:tcW w:w="179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Bagaimana penerimaan para pihak terhadap jumlah luas kawasan hutan yang telah dikukuhkan?</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Kehutanan</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Renstra Dinas Kehutanan 2011 - 2016</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Luas kawasan hutan secara keseluruhan di Sulteng kurang lebih ada 4,5 juts hektsr. Belum ada yang dikukuhkan atau ditetapkan. Masih baru pada tahap Penunjukkan. Proses untuk sampai pada pengukuhan/penetapan adalah: Tahap pertama, Penunjukkan, Tahap kedua Tata batas, Tahap ketiga Pemetaan, Tahap terakhir baru Pengukuhan/penetapan</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r>
      <w:tr w:rsidR="003826EB" w:rsidRPr="003826EB" w:rsidTr="003826EB">
        <w:trPr>
          <w:trHeight w:val="4230"/>
        </w:trPr>
        <w:tc>
          <w:tcPr>
            <w:tcW w:w="714" w:type="dxa"/>
            <w:tcBorders>
              <w:top w:val="nil"/>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469" w:type="dxa"/>
            <w:tcBorders>
              <w:top w:val="nil"/>
              <w:left w:val="nil"/>
              <w:bottom w:val="nil"/>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79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LSM</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Renstra Dinas Kehutanan 2011 - 2016</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c>
          <w:tcPr>
            <w:tcW w:w="2073"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Sampai sekarang luas hutan yang sebenarnya masih belum jelas berapa luasnya, selalu berubah-ubah.  Angka terbaru adalah ada 3 juta hektar, jangan-jangan sebagian bukan hutan. Kalau tidak salah di dalam RTRW angka luas hutan 4,3 juta hektar dan telah dikonversi seluas 3,8 juta hektar. Untuk apa konversi tersebut tidak dijelaskan kepada publik. Untuk pengukuhan hutan masih dalam proses dan masih belum bisa diakses masyarakat, dana apabila dapat diakses prosesnya lebih pada hubungan personal bukan hubungan kelembagaan</w:t>
            </w:r>
          </w:p>
        </w:tc>
        <w:tc>
          <w:tcPr>
            <w:tcW w:w="1382" w:type="dxa"/>
            <w:tcBorders>
              <w:top w:val="nil"/>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r>
      <w:tr w:rsidR="003826EB" w:rsidRPr="003826EB" w:rsidTr="003826EB">
        <w:trPr>
          <w:trHeight w:val="2715"/>
        </w:trPr>
        <w:tc>
          <w:tcPr>
            <w:tcW w:w="714" w:type="dxa"/>
            <w:tcBorders>
              <w:top w:val="nil"/>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lastRenderedPageBreak/>
              <w:t> </w:t>
            </w:r>
          </w:p>
        </w:tc>
        <w:tc>
          <w:tcPr>
            <w:tcW w:w="1469" w:type="dxa"/>
            <w:tcBorders>
              <w:top w:val="nil"/>
              <w:left w:val="nil"/>
              <w:bottom w:val="nil"/>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79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Organisasi Masyarakat Adat Lokal</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Renstra Dinas Kehutanan 2011 - 2016</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c>
          <w:tcPr>
            <w:tcW w:w="2073"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Sebenarnya masyarakat sudah ada /memiliki peta kawasan hutan yang nantinya akan dikukuhkan menjadi wilayah yang dikelola oleh masyarakat adat. Sampai sekarang belum ada penetapan hutan untuk masyarakat adat tersebut. Sementara ini baru tahap uji boca dan prosedur untuk untuk uji coba penetapan wilayah tersebut sudah ada.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3</w:t>
            </w:r>
          </w:p>
        </w:tc>
      </w:tr>
      <w:tr w:rsidR="003826EB" w:rsidRPr="003826EB" w:rsidTr="003826EB">
        <w:trPr>
          <w:trHeight w:val="3675"/>
        </w:trPr>
        <w:tc>
          <w:tcPr>
            <w:tcW w:w="714" w:type="dxa"/>
            <w:tcBorders>
              <w:top w:val="nil"/>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469" w:type="dxa"/>
            <w:tcBorders>
              <w:top w:val="nil"/>
              <w:left w:val="nil"/>
              <w:bottom w:val="nil"/>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79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Akademisi</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Renstra Dinas Kehutanan 2011 - 2016</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c>
          <w:tcPr>
            <w:tcW w:w="2073"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Proses melibatkan pada tingkt yang paling rendah merupakan dasar yaitu ditingkat masyarakat yang bermukin atau beraktifitas di hutan dalam pengukuhan kawasan hutan. Konflik itu terjadi karena masyarakat dilupakan saat melakukan perencanaan kawasan untuk dikukuhkan. Tata batas harus sudah ditetapkan muai sejak awal, akan tetapi pengukuan hutan hukum adat ini setahu saya belum pernah ada , kerena disamping uga belum memiiki Peraturan menteri (PP)</w:t>
            </w:r>
          </w:p>
        </w:tc>
        <w:tc>
          <w:tcPr>
            <w:tcW w:w="1382" w:type="dxa"/>
            <w:tcBorders>
              <w:top w:val="nil"/>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r>
      <w:tr w:rsidR="003826EB" w:rsidRPr="003826EB" w:rsidTr="003826EB">
        <w:trPr>
          <w:trHeight w:val="6555"/>
        </w:trPr>
        <w:tc>
          <w:tcPr>
            <w:tcW w:w="714" w:type="dxa"/>
            <w:tcBorders>
              <w:top w:val="nil"/>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46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79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UPT BKPH</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Renstra Dinas Kehutanan 2011 - 2016</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c>
          <w:tcPr>
            <w:tcW w:w="2073"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Sudah ada penetapan kawasan hutan akan tetapi masih sangat rendah jika dibandingkan dengan luasan kawasan hutan yang ada kurang lebih 4,5 juta hektar</w:t>
            </w:r>
            <w:r w:rsidRPr="003826EB">
              <w:rPr>
                <w:rFonts w:ascii="Times New Roman" w:eastAsia="Times New Roman" w:hAnsi="Times New Roman" w:cs="Times New Roman"/>
                <w:color w:val="000000"/>
                <w:sz w:val="20"/>
                <w:szCs w:val="20"/>
                <w:lang w:eastAsia="id-ID"/>
              </w:rPr>
              <w:br/>
              <w:t>- Banyak masyarakat yang menetap di kawasan hutan lindung seperti kasus di Lore Lindu, ketika kawasan tersebut ditetapkan menjadi kawasan hutan sebagian masyarakat menerima tapi sebagian besar masih belum menerima, sehingga konflik terus terjadi.</w:t>
            </w:r>
            <w:r w:rsidRPr="003826EB">
              <w:rPr>
                <w:rFonts w:ascii="Times New Roman" w:eastAsia="Times New Roman" w:hAnsi="Times New Roman" w:cs="Times New Roman"/>
                <w:color w:val="000000"/>
                <w:sz w:val="20"/>
                <w:szCs w:val="20"/>
                <w:lang w:eastAsia="id-ID"/>
              </w:rPr>
              <w:br/>
              <w:t>- Saat ini sedang diupayakan untuk mencari jalan keluar yang baik untuk mengatasi pemukiman-pemukiman penduduk yang ada dikawsan hutan lindung dengan tidak mencederai masyarakat.</w:t>
            </w:r>
            <w:r w:rsidRPr="003826EB">
              <w:rPr>
                <w:rFonts w:ascii="Times New Roman" w:eastAsia="Times New Roman" w:hAnsi="Times New Roman" w:cs="Times New Roman"/>
                <w:color w:val="000000"/>
                <w:sz w:val="20"/>
                <w:szCs w:val="20"/>
                <w:lang w:eastAsia="id-ID"/>
              </w:rPr>
              <w:br/>
              <w:t xml:space="preserve">-  Konflik dengan masayarakat adat/lokal masih tetap dan terus ada selama kesejahteraan mereka masih rendah. Dan akan selesai dengan </w:t>
            </w:r>
            <w:r w:rsidRPr="003826EB">
              <w:rPr>
                <w:rFonts w:ascii="Times New Roman" w:eastAsia="Times New Roman" w:hAnsi="Times New Roman" w:cs="Times New Roman"/>
                <w:color w:val="000000"/>
                <w:sz w:val="20"/>
                <w:szCs w:val="20"/>
                <w:lang w:eastAsia="id-ID"/>
              </w:rPr>
              <w:lastRenderedPageBreak/>
              <w:t>sendirinya ketika kesejahteraan masyarakat meningkat, harapannya adalah program REDD+ benar-benar memberikan dampak kesejahteraan terhadap masyarakat sekitar Hutan</w:t>
            </w:r>
            <w:r w:rsidRPr="003826EB">
              <w:rPr>
                <w:rFonts w:ascii="Times New Roman" w:eastAsia="Times New Roman" w:hAnsi="Times New Roman" w:cs="Times New Roman"/>
                <w:color w:val="000000"/>
                <w:sz w:val="20"/>
                <w:szCs w:val="20"/>
                <w:lang w:eastAsia="id-ID"/>
              </w:rPr>
              <w:br/>
              <w:t xml:space="preserve">- Masyarakat yang tingkat kesejahteraaan masih rendah masih sulit untuk memahami ketika manfaat yang mereka rasakan ketika mereka ikut menjaga hutan dan hutan menjadi lestari karena kebutuhan jangka pendek untuk perut. </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lastRenderedPageBreak/>
              <w:t>3</w:t>
            </w:r>
          </w:p>
        </w:tc>
      </w:tr>
      <w:tr w:rsidR="003826EB" w:rsidRPr="003826EB" w:rsidTr="003826EB">
        <w:trPr>
          <w:trHeight w:val="195"/>
        </w:trPr>
        <w:tc>
          <w:tcPr>
            <w:tcW w:w="71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469"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79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2073"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63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Indikator</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6903" w:type="dxa"/>
            <w:gridSpan w:val="5"/>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c. Jumlah tata- ruang kelola masyarakat adat/lokal yang terakomodir dalam tata-ruang propinsi dan/atau kabupaten</w:t>
            </w:r>
          </w:p>
        </w:tc>
      </w:tr>
      <w:tr w:rsidR="003826EB" w:rsidRPr="003826EB" w:rsidTr="003826EB">
        <w:trPr>
          <w:trHeight w:val="1155"/>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Wawancara – Sumber informasi</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single" w:sz="4" w:space="0" w:color="auto"/>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3826EB" w:rsidRPr="003826EB" w:rsidTr="003826EB">
        <w:trPr>
          <w:trHeight w:val="705"/>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Dokumen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Dokumen</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Wawancara</w:t>
            </w:r>
          </w:p>
        </w:tc>
      </w:tr>
      <w:tr w:rsidR="003826EB" w:rsidRPr="003826EB" w:rsidTr="003826EB">
        <w:trPr>
          <w:trHeight w:val="258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FIc1</w:t>
            </w:r>
          </w:p>
        </w:tc>
        <w:tc>
          <w:tcPr>
            <w:tcW w:w="1469" w:type="dxa"/>
            <w:vMerge w:val="restart"/>
            <w:tcBorders>
              <w:top w:val="nil"/>
              <w:left w:val="single" w:sz="4" w:space="0" w:color="auto"/>
              <w:bottom w:val="single" w:sz="4" w:space="0" w:color="000000"/>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Jumlah tata-ruang kelola ma-syarakat adat/lokal yang ter-akomodir dalam tata-ruang pro-pinsi dan/atau kabupaten</w:t>
            </w:r>
          </w:p>
        </w:tc>
        <w:tc>
          <w:tcPr>
            <w:tcW w:w="1799" w:type="dxa"/>
            <w:vMerge w:val="restart"/>
            <w:tcBorders>
              <w:top w:val="nil"/>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Apakah jumlah tata-ruang kelola masyarakat adat/lokal yang terakomodir dalam tata-ruang propinsi dan/atau kabupaten sudah memadai?</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Kehutanan</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diperoleh Dokumen tentang jumlah  tata-ruang kelola ma-syarakat adat/lokal yang ter-akomodir dalam tata-ruang pro-pinsi  karena RTRW belum disyahkan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Masih belum ada tata kelola masyarakat adat/lokal yang terakomodir dalam tata ruang Provinsi, karena Sulteng belum memiliki rencana tata ruang yang disyahkan. Saat ini sedang dilakukan review untuk rencana tata ruang tersebut, dan memang ada beberapa wilayah hutan yang sekarang telah dihuni oleh masyarakat, dari beberapa pembahasan yang saya ikut diusulkan untuk dikelola oleh  masyarakat adat /lokal, dan hingga sekarang masih belum ada keputusan disetujui atau tidak. </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r>
      <w:tr w:rsidR="003826EB" w:rsidRPr="003826EB" w:rsidTr="003826EB">
        <w:trPr>
          <w:trHeight w:val="1470"/>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LSM</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diperoleh Dokumen tentang jumlah  tata-ruang kelola ma-syarakat adat/lokal yang ter-akomodir dalam tata-ruang pro-pinsi  karena RTRW belum disyahkan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Masih belum ada jumlah tata-ruang kelola masyarakat adat/lokal yang terakomodir dalam RTRW. Untuk wilayah budidaya tidak ada dan untuk wilayah laut nelayan tradisional juga belum ada yang terkomodir dalam RTRW</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r>
      <w:tr w:rsidR="003826EB" w:rsidRPr="003826EB" w:rsidTr="003826EB">
        <w:trPr>
          <w:trHeight w:val="1950"/>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UPT BKPH</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diperoleh Dokumen tentang jumlah  tata-ruang kelola ma-syarakat adat/lokal yang ter-akomodir dalam tata-ruang pro-pinsi  karena RTRW belum disyahkan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Yang mengaku sebagai masyarakat adat memang ada, tapi secara riil keberadaan masyarakat adat belum pernah mendengat keberadaannya</w:t>
            </w:r>
            <w:r w:rsidRPr="003826EB">
              <w:rPr>
                <w:rFonts w:ascii="Times New Roman" w:eastAsia="Times New Roman" w:hAnsi="Times New Roman" w:cs="Times New Roman"/>
                <w:color w:val="000000"/>
                <w:sz w:val="20"/>
                <w:szCs w:val="20"/>
                <w:lang w:eastAsia="id-ID"/>
              </w:rPr>
              <w:br/>
              <w:t>Kawasan hutan adat juga demikian, hanya saling klaim tetapi keberadaan hutan adat masih perlu dipertanyakan.</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r>
      <w:tr w:rsidR="003826EB" w:rsidRPr="003826EB" w:rsidTr="003826EB">
        <w:trPr>
          <w:trHeight w:val="1830"/>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Organisasi Masyarakat Adat Lokal</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diperoleh Dokumen tentang jumlah  tata-ruang kelola ma-syarakat adat/lokal yang ter-akomodir dalam tata-ruang pro-pinsi  karena RTRW belum disyahkan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Pada pembahasan terakhir rencana tata-ruang provinsi  di Sulteng ini masih belum mengakomodir hak kelola masyarakat adat/lokal , tapi saya tidak tahu apakah dalam pembahasan selanjutnya kemudian ada perubahan K30</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r>
      <w:tr w:rsidR="003826EB" w:rsidRPr="003826EB" w:rsidTr="003826EB">
        <w:trPr>
          <w:trHeight w:val="2010"/>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Akademisi</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diperoleh Dokumen tentang jumlah  tata-ruang kelola ma-syarakat adat/lokal yang ter-akomodir dalam tata-ruang pro-pinsi  karena RTRW belum disyahkan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Saya tidak tahu persis tetapi seingat saya memang belum ada pengukuhan untuk kawasan hutan adat di Sulawesi tengah ini </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r>
      <w:tr w:rsidR="003826EB" w:rsidRPr="003826EB" w:rsidTr="003826EB">
        <w:trPr>
          <w:trHeight w:val="255"/>
        </w:trPr>
        <w:tc>
          <w:tcPr>
            <w:tcW w:w="71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469"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79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2073"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525"/>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lastRenderedPageBreak/>
              <w:t>Indikator</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6903" w:type="dxa"/>
            <w:gridSpan w:val="5"/>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d. Jumlah konflik penguasaan kawasan yang dapat difasilitasi penyelesaiannya dalam setiap tahun</w:t>
            </w:r>
          </w:p>
        </w:tc>
      </w:tr>
      <w:tr w:rsidR="003826EB" w:rsidRPr="003826EB" w:rsidTr="003826EB">
        <w:trPr>
          <w:trHeight w:val="1245"/>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Wawancara – Sumber informasi</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single" w:sz="4" w:space="0" w:color="auto"/>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3826EB" w:rsidRPr="003826EB" w:rsidTr="003826EB">
        <w:trPr>
          <w:trHeight w:val="63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Dokumen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Dokumen</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Wawancara</w:t>
            </w:r>
          </w:p>
        </w:tc>
      </w:tr>
      <w:tr w:rsidR="003826EB" w:rsidRPr="003826EB" w:rsidTr="003826EB">
        <w:trPr>
          <w:trHeight w:val="2730"/>
        </w:trPr>
        <w:tc>
          <w:tcPr>
            <w:tcW w:w="714" w:type="dxa"/>
            <w:vMerge w:val="restart"/>
            <w:tcBorders>
              <w:top w:val="nil"/>
              <w:left w:val="single" w:sz="4" w:space="0" w:color="auto"/>
              <w:bottom w:val="single" w:sz="4" w:space="0" w:color="auto"/>
              <w:right w:val="single" w:sz="4" w:space="0" w:color="auto"/>
            </w:tcBorders>
            <w:shd w:val="clear" w:color="000000" w:fill="FFFF00"/>
            <w:noWrap/>
            <w:hideMark/>
          </w:tcPr>
          <w:p w:rsidR="003826EB" w:rsidRPr="003826EB" w:rsidRDefault="003826EB" w:rsidP="003826EB">
            <w:pPr>
              <w:spacing w:after="0" w:line="240" w:lineRule="auto"/>
              <w:jc w:val="center"/>
              <w:rPr>
                <w:rFonts w:ascii="Times New Roman" w:eastAsia="Times New Roman" w:hAnsi="Times New Roman" w:cs="Times New Roman"/>
                <w:color w:val="FFFF00"/>
                <w:sz w:val="20"/>
                <w:szCs w:val="20"/>
                <w:lang w:eastAsia="id-ID"/>
              </w:rPr>
            </w:pPr>
            <w:r w:rsidRPr="003826EB">
              <w:rPr>
                <w:rFonts w:ascii="Times New Roman" w:eastAsia="Times New Roman" w:hAnsi="Times New Roman" w:cs="Times New Roman"/>
                <w:color w:val="FFFF00"/>
                <w:sz w:val="20"/>
                <w:szCs w:val="20"/>
                <w:lang w:eastAsia="id-ID"/>
              </w:rPr>
              <w:t> </w:t>
            </w:r>
          </w:p>
        </w:tc>
        <w:tc>
          <w:tcPr>
            <w:tcW w:w="1469" w:type="dxa"/>
            <w:vMerge w:val="restart"/>
            <w:tcBorders>
              <w:top w:val="nil"/>
              <w:left w:val="single" w:sz="4" w:space="0" w:color="auto"/>
              <w:bottom w:val="single" w:sz="4" w:space="0" w:color="000000"/>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Jumlah konflik penguasaan kawasan yang dapat difasilitasi penyelesaiannya dalam setiap tahun</w:t>
            </w:r>
          </w:p>
        </w:tc>
        <w:tc>
          <w:tcPr>
            <w:tcW w:w="1799" w:type="dxa"/>
            <w:vMerge w:val="restart"/>
            <w:tcBorders>
              <w:top w:val="nil"/>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Apakah jumlah konflik penguasaan kawasan yang dapat difasilitasi penyelesaiannya dalam setiap tahun sudah memadai?</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Kehutanan</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ada data terkait dengan jumlah konflik penguasaan kawasan yang dapat difasilitasi penyelesaiannya</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Ditargetkan dalam renstra yang difasilitasi sebanyak 10% pertahun, hal ini dengan menyesuaikan sumberdaya yang ada.  Dengan demikian diharapkan dalam jangka waktu 5 tahun akan dapat memfasilitasi penyelesaian konflik sebanyak 50%. Dalam jangka 10 tahun bisa terselesaikan semua konflik penguasaan lahan dengan asumsi tidak terjadi konflik baru lagi.</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r>
      <w:tr w:rsidR="003826EB" w:rsidRPr="003826EB" w:rsidTr="003826EB">
        <w:trPr>
          <w:trHeight w:val="2685"/>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FFFF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LSM</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ada data terkait dengan jumlah konflik penguasaan kawasan yang dapat difasilitasi penyelesaiannya</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Model fasilitasi untuk penanganan konflik tidak ada. Yang ada adalah menggusuran paksa, seperti yang dilakukan oleh PT Satya Guna yang melakukan penanaman di perkebunan masyarakat karena mengeklaim bahwa kebun masyarakat adalah masuk dalam kawasan PT tersebut. Mereka tidak bersedia untuk berdialog, jadi spirit untuk penyelesaian konflik tidak ada</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r>
      <w:tr w:rsidR="003826EB" w:rsidRPr="003826EB" w:rsidTr="003826EB">
        <w:trPr>
          <w:trHeight w:val="4620"/>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FFFF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UPT BKPH</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ada data terkait dengan jumlah konflik penguasaan kawasan yang dapat difasilitasi penyelesaiannya</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 Karena luasnya kawasan hutan dan banyaknya masyarakat yang berada dipinggiran hutan maka konflik penguasaan lahan selalu ada dan terus terjadi , </w:t>
            </w:r>
            <w:r w:rsidRPr="003826EB">
              <w:rPr>
                <w:rFonts w:ascii="Times New Roman" w:eastAsia="Times New Roman" w:hAnsi="Times New Roman" w:cs="Times New Roman"/>
                <w:color w:val="000000"/>
                <w:sz w:val="20"/>
                <w:szCs w:val="20"/>
                <w:lang w:eastAsia="id-ID"/>
              </w:rPr>
              <w:br/>
              <w:t>- Jauhnya wilayah juga menjadi penghalang sulitnya dalam penyelesaian konflik penguasaan kawasan</w:t>
            </w:r>
            <w:r w:rsidRPr="003826EB">
              <w:rPr>
                <w:rFonts w:ascii="Times New Roman" w:eastAsia="Times New Roman" w:hAnsi="Times New Roman" w:cs="Times New Roman"/>
                <w:color w:val="000000"/>
                <w:sz w:val="20"/>
                <w:szCs w:val="20"/>
                <w:lang w:eastAsia="id-ID"/>
              </w:rPr>
              <w:br/>
              <w:t>- Panitia tata batas diketuai oleh Bupati, BKTH tugasnya membantu dalam penyelesaian konflik penguasaan kawasan dalam tata batas.</w:t>
            </w:r>
            <w:r w:rsidRPr="003826EB">
              <w:rPr>
                <w:rFonts w:ascii="Times New Roman" w:eastAsia="Times New Roman" w:hAnsi="Times New Roman" w:cs="Times New Roman"/>
                <w:color w:val="000000"/>
                <w:sz w:val="20"/>
                <w:szCs w:val="20"/>
                <w:lang w:eastAsia="id-ID"/>
              </w:rPr>
              <w:br/>
              <w:t xml:space="preserve">- Salah satu penyelesaian konflik penguasaan kawasan adalah dengan melakukan review tata </w:t>
            </w:r>
            <w:r w:rsidRPr="003826EB">
              <w:rPr>
                <w:rFonts w:ascii="Times New Roman" w:eastAsia="Times New Roman" w:hAnsi="Times New Roman" w:cs="Times New Roman"/>
                <w:color w:val="000000"/>
                <w:sz w:val="20"/>
                <w:szCs w:val="20"/>
                <w:lang w:eastAsia="id-ID"/>
              </w:rPr>
              <w:lastRenderedPageBreak/>
              <w:t>ruang dan saat sekarang sedang dibahas RTRW Sulteng dan belum disyahkan</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lastRenderedPageBreak/>
              <w:t>2</w:t>
            </w:r>
          </w:p>
        </w:tc>
      </w:tr>
      <w:tr w:rsidR="003826EB" w:rsidRPr="003826EB" w:rsidTr="003826EB">
        <w:trPr>
          <w:trHeight w:val="2295"/>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FFFF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Organisasi Masyarakat Adat Lokal</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ada data terkait dengan jumlah konflik penguasaan kawasan yang dapat difasilitasi penyelesaiannya</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 Kalau lembaga Aman sering memfasilitasi untuk penyelesaian konflik terutama antara masyarakat adat/lokal dengan perusahaan-perusahaan, seperti konflik yang terjadi antara perusahaan perkebunan teh dengan masyarakat di Makolo, tetapi kalau pemerintah saya kurang tahu. Kami selalalu melakukan sharing komunikasi antara masyarakat dengan LSM-LSM yang mendampingi masyarakat</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r>
      <w:tr w:rsidR="003826EB" w:rsidRPr="003826EB" w:rsidTr="003826EB">
        <w:trPr>
          <w:trHeight w:val="1620"/>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FFFF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Akademisi</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ada data terkait dengan jumlah konflik penguasaan kawasan yang dapat difasilitasi penyelesaiannya</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Ada beberapa lokasi konflik yang dapat diselesaikan seperti yang terjadi di lokasi transmigrasi. Akan tetapi jumlahnya tidak memadai karena ibarat dapat diselesaikan 1 konflik , muncul 10 konflik yang baru.</w:t>
            </w:r>
          </w:p>
        </w:tc>
        <w:tc>
          <w:tcPr>
            <w:tcW w:w="1382" w:type="dxa"/>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r>
      <w:tr w:rsidR="003826EB" w:rsidRPr="003826EB" w:rsidTr="003826EB">
        <w:trPr>
          <w:trHeight w:val="331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FId1</w:t>
            </w:r>
          </w:p>
        </w:tc>
        <w:tc>
          <w:tcPr>
            <w:tcW w:w="1469" w:type="dxa"/>
            <w:vMerge w:val="restart"/>
            <w:tcBorders>
              <w:top w:val="nil"/>
              <w:left w:val="single" w:sz="4" w:space="0" w:color="auto"/>
              <w:bottom w:val="single" w:sz="4" w:space="0" w:color="000000"/>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Hasil mediasi bisa diterima oleh semua pihak dan dijalankan secara konsisten</w:t>
            </w:r>
          </w:p>
        </w:tc>
        <w:tc>
          <w:tcPr>
            <w:tcW w:w="1799" w:type="dxa"/>
            <w:vMerge w:val="restart"/>
            <w:tcBorders>
              <w:top w:val="nil"/>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Apakah hasil mediasi bisa diterima oleh semua pihak dan dijalankan secara konsisten?</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Kehutanan</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ada dokumen tentang hasil mediasi yang  bisa diterima oleh semua pihak dan dijalankan secara konsisten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Jika masyarakat sudah menjadikan kawasan hutan menjadi kebun, tidak mungkin masyarakat tersebut dikeluarkan dari kawasan tersebutan, oleh karena itu kemudian dibuat pola hutan kemasyarakatan, (HKm, HKmK, Hutan Desa)</w:t>
            </w:r>
            <w:r w:rsidRPr="003826EB">
              <w:rPr>
                <w:rFonts w:ascii="Times New Roman" w:eastAsia="Times New Roman" w:hAnsi="Times New Roman" w:cs="Times New Roman"/>
                <w:color w:val="000000"/>
                <w:sz w:val="20"/>
                <w:szCs w:val="20"/>
                <w:lang w:eastAsia="id-ID"/>
              </w:rPr>
              <w:br/>
              <w:t xml:space="preserve">- Dengan pola tersebut masyarakat menerima dengan senang hati, jadi dengan pola ini masyarakat dapat mengelola dengan baik berdasarkan kaidah konservasi, tetapi tidak </w:t>
            </w:r>
            <w:r w:rsidRPr="003826EB">
              <w:rPr>
                <w:rFonts w:ascii="Times New Roman" w:eastAsia="Times New Roman" w:hAnsi="Times New Roman" w:cs="Times New Roman"/>
                <w:color w:val="000000"/>
                <w:sz w:val="20"/>
                <w:szCs w:val="20"/>
                <w:lang w:eastAsia="id-ID"/>
              </w:rPr>
              <w:lastRenderedPageBreak/>
              <w:t>boleh dikuasai menjadi milik mereka.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lastRenderedPageBreak/>
              <w:t>3</w:t>
            </w:r>
          </w:p>
        </w:tc>
      </w:tr>
      <w:tr w:rsidR="003826EB" w:rsidRPr="003826EB" w:rsidTr="003826EB">
        <w:trPr>
          <w:trHeight w:val="1500"/>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LSM</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ada dokumen tentang hasil mediasi yang  bisa diterima oleh semua pihak dan dijalankan secara konsisten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Karena trauma dengan penggusuran paksa maka hasil mediasi masih kurang diterima terutama bagi masyarakat. Di kecamatan Pagimana mediasi dapat diterima oleh semua pihak tetapi di tempat lain masih belum</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r>
      <w:tr w:rsidR="003826EB" w:rsidRPr="003826EB" w:rsidTr="003826EB">
        <w:trPr>
          <w:trHeight w:val="1740"/>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UPT BKPH</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ada dokumen tentang hasil mediasi yang  bisa diterima oleh semua pihak dan dijalankan secara konsisten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Hasil mediasi masih kurang ditrima oleh para pihak , hal ini bisa dilihat dengan beberapa kasus yang terjadi, meskipun telah sepakat  penyelesaiannya, akan tetapi konflik terulang lagi. Seperti kasus Donge-Donge, Lore lindu dl</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r>
      <w:tr w:rsidR="003826EB" w:rsidRPr="003826EB" w:rsidTr="003826EB">
        <w:trPr>
          <w:trHeight w:val="2835"/>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Organisasi Masyarakat Adat Lokal</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ada dokumen tentang hasil mediasi yang  bisa diterima oleh semua pihak dan dijalankan secara konsisten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Pihak masyarakat selalu konsisten. Dalam fasilitasi penyelesaian konflik kita selalu melakukan pemetaan terlebih dahulu mulai dari asal usul kawasan, tatakelola SDAnya, dan juga pengetahuan masyarakat terhadap kawasan yang menjadi sengketa tersebut. Sehingga jika terjadi kesepakatan berdasarkan hasil pemetaan tersebut maka secara konsisten diterima semua pihal</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4</w:t>
            </w:r>
          </w:p>
        </w:tc>
      </w:tr>
      <w:tr w:rsidR="003826EB" w:rsidRPr="003826EB" w:rsidTr="003826EB">
        <w:trPr>
          <w:trHeight w:val="1605"/>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Akademisi</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ada dokumen tentang hasil mediasi yang  bisa diterima oleh semua pihak dan dijalankan secara konsisten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Biasanya hasil mediasi bisa diterima akan tetapi suatu saat muncul konflik lagi  </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r>
      <w:tr w:rsidR="003826EB" w:rsidRPr="003826EB" w:rsidTr="003826EB">
        <w:trPr>
          <w:trHeight w:val="465"/>
        </w:trPr>
        <w:tc>
          <w:tcPr>
            <w:tcW w:w="71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469"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79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2073"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48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lastRenderedPageBreak/>
              <w:t>Isu dalam PGA REDD+</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2260"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xml:space="preserve">:  II. Pengaturan Hak  </w:t>
            </w:r>
          </w:p>
        </w:tc>
        <w:tc>
          <w:tcPr>
            <w:tcW w:w="1188"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2073"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p>
        </w:tc>
      </w:tr>
      <w:tr w:rsidR="003826EB" w:rsidRPr="003826EB" w:rsidTr="003826EB">
        <w:trPr>
          <w:trHeight w:val="75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Indikator</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xml:space="preserve">: a. Jumlah hak masyarakat dan bisnis yang telah diadministrasikan pada Unit yang mengadministrasikan hak </w:t>
            </w:r>
            <w:r w:rsidRPr="003826EB">
              <w:rPr>
                <w:rFonts w:ascii="Times New Roman" w:eastAsia="Times New Roman" w:hAnsi="Times New Roman" w:cs="Times New Roman"/>
                <w:b/>
                <w:bCs/>
                <w:color w:val="000000"/>
                <w:sz w:val="20"/>
                <w:szCs w:val="20"/>
                <w:lang w:eastAsia="id-ID"/>
              </w:rPr>
              <w:br/>
              <w:t xml:space="preserve">   masyarakat dan bisnis di Kementerian/SKPD </w:t>
            </w:r>
          </w:p>
        </w:tc>
      </w:tr>
      <w:tr w:rsidR="003826EB" w:rsidRPr="003826EB" w:rsidTr="003826EB">
        <w:trPr>
          <w:trHeight w:val="525"/>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single" w:sz="4" w:space="0" w:color="auto"/>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xml:space="preserve"> : Kementerian/Dinas Kehutanan (Unit Pemberi Izin)</w:t>
            </w:r>
          </w:p>
        </w:tc>
      </w:tr>
      <w:tr w:rsidR="003826EB" w:rsidRPr="003826EB" w:rsidTr="003826EB">
        <w:trPr>
          <w:trHeight w:val="75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Dokumen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Dokumen</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Wawancara</w:t>
            </w:r>
          </w:p>
        </w:tc>
      </w:tr>
      <w:tr w:rsidR="003826EB" w:rsidRPr="003826EB" w:rsidTr="003826EB">
        <w:trPr>
          <w:trHeight w:val="1800"/>
        </w:trPr>
        <w:tc>
          <w:tcPr>
            <w:tcW w:w="714" w:type="dxa"/>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FIIa1</w:t>
            </w:r>
          </w:p>
        </w:tc>
        <w:tc>
          <w:tcPr>
            <w:tcW w:w="146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Jumlah hak masyarakat dan bisnis yang telah diadministra-sikan pada Unit yang mengad-ministrasikan hak masyarakat dan bisnis di Kementerian/SKPD  </w:t>
            </w:r>
          </w:p>
        </w:tc>
        <w:tc>
          <w:tcPr>
            <w:tcW w:w="1799"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Tidak ditemukan data </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r>
      <w:tr w:rsidR="003826EB" w:rsidRPr="003826EB" w:rsidTr="003826EB">
        <w:trPr>
          <w:trHeight w:val="255"/>
        </w:trPr>
        <w:tc>
          <w:tcPr>
            <w:tcW w:w="71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469"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79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2073"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6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Indikator</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nil"/>
              <w:right w:val="nil"/>
            </w:tcBorders>
            <w:shd w:val="clear" w:color="auto" w:fill="auto"/>
            <w:hideMark/>
          </w:tcPr>
          <w:p w:rsidR="003826EB" w:rsidRPr="003826EB" w:rsidRDefault="003826EB" w:rsidP="003826EB">
            <w:pPr>
              <w:spacing w:after="24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xml:space="preserve">: b. Jumlah hak masyarakat dan bisnis yang telah diadministrasikan pada Unit yang mengadministrasikan hak </w:t>
            </w:r>
            <w:r w:rsidRPr="003826EB">
              <w:rPr>
                <w:rFonts w:ascii="Times New Roman" w:eastAsia="Times New Roman" w:hAnsi="Times New Roman" w:cs="Times New Roman"/>
                <w:b/>
                <w:bCs/>
                <w:color w:val="000000"/>
                <w:sz w:val="20"/>
                <w:szCs w:val="20"/>
                <w:lang w:eastAsia="id-ID"/>
              </w:rPr>
              <w:br/>
              <w:t xml:space="preserve">   masyarakat dan bisnis di Kementerian/SKPD </w:t>
            </w:r>
            <w:r w:rsidRPr="003826EB">
              <w:rPr>
                <w:rFonts w:ascii="Times New Roman" w:eastAsia="Times New Roman" w:hAnsi="Times New Roman" w:cs="Times New Roman"/>
                <w:b/>
                <w:bCs/>
                <w:color w:val="000000"/>
                <w:sz w:val="20"/>
                <w:szCs w:val="20"/>
                <w:lang w:eastAsia="id-ID"/>
              </w:rPr>
              <w:br/>
              <w:t xml:space="preserve"> </w:t>
            </w:r>
          </w:p>
        </w:tc>
      </w:tr>
      <w:tr w:rsidR="003826EB" w:rsidRPr="003826EB" w:rsidTr="003826EB">
        <w:trPr>
          <w:trHeight w:val="6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single" w:sz="4" w:space="0" w:color="auto"/>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xml:space="preserve"> : Bagian Perencanaan (Dirjen Planologi, UPT/BPKH, Dinas Kehutanan Kabupaten);</w:t>
            </w:r>
            <w:r w:rsidRPr="003826EB">
              <w:rPr>
                <w:rFonts w:ascii="Times New Roman" w:eastAsia="Times New Roman" w:hAnsi="Times New Roman" w:cs="Times New Roman"/>
                <w:b/>
                <w:bCs/>
                <w:color w:val="000000"/>
                <w:sz w:val="20"/>
                <w:szCs w:val="20"/>
                <w:lang w:eastAsia="id-ID"/>
              </w:rPr>
              <w:br/>
              <w:t xml:space="preserve">  Kementerian/Dinas Kehutanan (Unit Pemberi Izin)</w:t>
            </w:r>
          </w:p>
        </w:tc>
      </w:tr>
      <w:tr w:rsidR="003826EB" w:rsidRPr="003826EB" w:rsidTr="003826E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Dokumen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Dokumen</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Wawancara</w:t>
            </w:r>
          </w:p>
        </w:tc>
      </w:tr>
      <w:tr w:rsidR="003826EB" w:rsidRPr="003826EB" w:rsidTr="003826EB">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FIIb1</w:t>
            </w:r>
          </w:p>
        </w:tc>
        <w:tc>
          <w:tcPr>
            <w:tcW w:w="146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Jumlah luas kawasan hutan yang tumpang tindih dengan penggunaan lahan lain  </w:t>
            </w:r>
          </w:p>
        </w:tc>
        <w:tc>
          <w:tcPr>
            <w:tcW w:w="1799"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ditemukan datanya</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r>
      <w:tr w:rsidR="003826EB" w:rsidRPr="003826EB" w:rsidTr="003826EB">
        <w:trPr>
          <w:trHeight w:val="255"/>
        </w:trPr>
        <w:tc>
          <w:tcPr>
            <w:tcW w:w="71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469"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79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2073"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345"/>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Indikator</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nil"/>
              <w:right w:val="nil"/>
            </w:tcBorders>
            <w:shd w:val="clear" w:color="auto" w:fill="auto"/>
            <w:hideMark/>
          </w:tcPr>
          <w:p w:rsidR="003826EB" w:rsidRPr="003826EB" w:rsidRDefault="003826EB" w:rsidP="003826EB">
            <w:pPr>
              <w:spacing w:after="24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xml:space="preserve">: c. Jumlah konflik antar sesama penggunaan kawasan hutan </w:t>
            </w:r>
            <w:r w:rsidRPr="003826EB">
              <w:rPr>
                <w:rFonts w:ascii="Times New Roman" w:eastAsia="Times New Roman" w:hAnsi="Times New Roman" w:cs="Times New Roman"/>
                <w:b/>
                <w:bCs/>
                <w:color w:val="000000"/>
                <w:sz w:val="20"/>
                <w:szCs w:val="20"/>
                <w:lang w:eastAsia="id-ID"/>
              </w:rPr>
              <w:br/>
              <w:t xml:space="preserve"> </w:t>
            </w:r>
          </w:p>
        </w:tc>
      </w:tr>
      <w:tr w:rsidR="003826EB" w:rsidRPr="003826EB" w:rsidTr="003826EB">
        <w:trPr>
          <w:trHeight w:val="51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single" w:sz="4" w:space="0" w:color="auto"/>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xml:space="preserve"> : Bagian Perencanaan (Dirjen Planologi, UPT/BPKH, Dinas Kehutanan Kabupaten); LSM  (Provinsi &amp; Daerah)</w:t>
            </w:r>
          </w:p>
        </w:tc>
      </w:tr>
      <w:tr w:rsidR="003826EB" w:rsidRPr="003826EB" w:rsidTr="003826E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Dokumen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Dokumen</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Wawancara</w:t>
            </w:r>
          </w:p>
        </w:tc>
      </w:tr>
      <w:tr w:rsidR="003826EB" w:rsidRPr="003826EB" w:rsidTr="003826EB">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FIIc1</w:t>
            </w:r>
          </w:p>
        </w:tc>
        <w:tc>
          <w:tcPr>
            <w:tcW w:w="146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Jumlah konflik antar sesama penggunaan kawasan hutan </w:t>
            </w:r>
          </w:p>
        </w:tc>
        <w:tc>
          <w:tcPr>
            <w:tcW w:w="1799"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jumlah konflik cukup banyak akan tetapi tidak terdokumen secara baik</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r>
      <w:tr w:rsidR="003826EB" w:rsidRPr="003826EB" w:rsidTr="003826EB">
        <w:trPr>
          <w:trHeight w:val="255"/>
        </w:trPr>
        <w:tc>
          <w:tcPr>
            <w:tcW w:w="71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46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2073"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Indikator</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xml:space="preserve">: d. Jumlah praktik terbaik (best practices) atas resolusi konflik terkait </w:t>
            </w:r>
            <w:r w:rsidRPr="003826EB">
              <w:rPr>
                <w:rFonts w:ascii="Times New Roman" w:eastAsia="Times New Roman" w:hAnsi="Times New Roman" w:cs="Times New Roman"/>
                <w:b/>
                <w:bCs/>
                <w:color w:val="000000"/>
                <w:sz w:val="20"/>
                <w:szCs w:val="20"/>
                <w:lang w:eastAsia="id-ID"/>
              </w:rPr>
              <w:lastRenderedPageBreak/>
              <w:t>pengakuan hak masy adat/lokal</w:t>
            </w:r>
          </w:p>
        </w:tc>
      </w:tr>
      <w:tr w:rsidR="003826EB" w:rsidRPr="003826EB" w:rsidTr="003826EB">
        <w:trPr>
          <w:trHeight w:val="405"/>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lastRenderedPageBreak/>
              <w:t>Wawancara - Sumber informasi</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single" w:sz="4" w:space="0" w:color="auto"/>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xml:space="preserve"> : Pemerintah (Pusat &amp; Daerah), LSM, AMAN</w:t>
            </w:r>
          </w:p>
        </w:tc>
      </w:tr>
      <w:tr w:rsidR="003826EB" w:rsidRPr="003826EB" w:rsidTr="003826E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Dokumen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Dokumen</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Wawancara</w:t>
            </w:r>
          </w:p>
        </w:tc>
      </w:tr>
      <w:tr w:rsidR="003826EB" w:rsidRPr="003826EB" w:rsidTr="003826EB">
        <w:trPr>
          <w:trHeight w:val="3090"/>
        </w:trPr>
        <w:tc>
          <w:tcPr>
            <w:tcW w:w="714" w:type="dxa"/>
            <w:vMerge w:val="restart"/>
            <w:tcBorders>
              <w:top w:val="nil"/>
              <w:left w:val="single" w:sz="4" w:space="0" w:color="auto"/>
              <w:bottom w:val="single" w:sz="4" w:space="0" w:color="auto"/>
              <w:right w:val="single" w:sz="4" w:space="0" w:color="auto"/>
            </w:tcBorders>
            <w:shd w:val="clear" w:color="000000" w:fill="FFFF00"/>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469" w:type="dxa"/>
            <w:vMerge w:val="restart"/>
            <w:tcBorders>
              <w:top w:val="nil"/>
              <w:left w:val="single" w:sz="4" w:space="0" w:color="auto"/>
              <w:bottom w:val="single" w:sz="4" w:space="0" w:color="000000"/>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Jumlah praktik terbaik (best practices) atas resolusi konflik terkait pengakuan hak masyara-kat adat/lokal </w:t>
            </w:r>
          </w:p>
        </w:tc>
        <w:tc>
          <w:tcPr>
            <w:tcW w:w="1799" w:type="dxa"/>
            <w:vMerge w:val="restart"/>
            <w:tcBorders>
              <w:top w:val="nil"/>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Jumlah praktik terbaik (</w:t>
            </w:r>
            <w:r w:rsidRPr="003826EB">
              <w:rPr>
                <w:rFonts w:ascii="Times New Roman" w:eastAsia="Times New Roman" w:hAnsi="Times New Roman" w:cs="Times New Roman"/>
                <w:i/>
                <w:iCs/>
                <w:color w:val="000000"/>
                <w:sz w:val="20"/>
                <w:szCs w:val="20"/>
                <w:lang w:eastAsia="id-ID"/>
              </w:rPr>
              <w:t>best practices</w:t>
            </w:r>
            <w:r w:rsidRPr="003826EB">
              <w:rPr>
                <w:rFonts w:ascii="Times New Roman" w:eastAsia="Times New Roman" w:hAnsi="Times New Roman" w:cs="Times New Roman"/>
                <w:color w:val="000000"/>
                <w:sz w:val="20"/>
                <w:szCs w:val="20"/>
                <w:lang w:eastAsia="id-ID"/>
              </w:rPr>
              <w:t>) atas resolusi konflik terkait pengakuan hak masyarakat adat/lokal</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Kehutanan</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Laporan program Dinas Kehutanan Ppropinsi</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Penerapan hukum adat dalam perlindungan hutan telah dilakukan oleh masyarakat adat yang berada di kawasan  Taman Nasional Lore Lindu. Ini merupakan praktek terbaik karena selama ini hutan disekitarnya mekipun ada masyarakat ynag bermukim di kawasan tersebut hutanya tidak rusak. Oleh pemerintah pola-pola penerapan hukum adat tersebut diadopsi untuk diterapkan ditempat lain dengan kondisi dan karakteristik yang hampir sama.</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r>
      <w:tr w:rsidR="003826EB" w:rsidRPr="003826EB" w:rsidTr="003826EB">
        <w:trPr>
          <w:trHeight w:val="3405"/>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LSM</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Laporan Pendampingan LSM di wilayah masyarakat Pinggiran Hutan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Di desa Katu Tanaman ansional ada prakek yang baik dalam penyelesaian konflik, yang kemudian praktek tersebut dituangkan dalam Renstrada dalam penanganan konflik. Basis penanganan konflik yang dilakukan adalah berbasis historis, melakukan pemetaan historis , tentang status kawasan, hal yang boleh dilakukan dan tidak boleh dilakukan, sangsi yang diterima ketika melakukan pelanggaran dll. Tapi untuk praktek-praktek tersebut jumlahnya tidak banyak</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3</w:t>
            </w:r>
          </w:p>
        </w:tc>
      </w:tr>
      <w:tr w:rsidR="003826EB" w:rsidRPr="003826EB" w:rsidTr="003826EB">
        <w:trPr>
          <w:trHeight w:val="2865"/>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Organisasi Masyarakat Adat Lokal</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Jurnal /Laporan Pendampingan Masyarakat Adat di wilayah Masyarakat Toro</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4</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Ada di Tana Toro dan Katu yang merupakan komunitas masyarakat adat telah Ada praktek pengakuan terhadap hak masyarakat adat</w:t>
            </w:r>
            <w:r w:rsidRPr="003826EB">
              <w:rPr>
                <w:rFonts w:ascii="Times New Roman" w:eastAsia="Times New Roman" w:hAnsi="Times New Roman" w:cs="Times New Roman"/>
                <w:color w:val="000000"/>
                <w:sz w:val="20"/>
                <w:szCs w:val="20"/>
                <w:lang w:eastAsia="id-ID"/>
              </w:rPr>
              <w:br/>
              <w:t>- Berbagai pihak telah mengakuinya akan tetapi masih belum Ada pengesahan untuk dijadikan sebagai model diwilayah lain</w:t>
            </w:r>
            <w:r w:rsidRPr="003826EB">
              <w:rPr>
                <w:rFonts w:ascii="Times New Roman" w:eastAsia="Times New Roman" w:hAnsi="Times New Roman" w:cs="Times New Roman"/>
                <w:color w:val="000000"/>
                <w:sz w:val="20"/>
                <w:szCs w:val="20"/>
                <w:lang w:eastAsia="id-ID"/>
              </w:rPr>
              <w:br/>
              <w:t>- masih banyak wilayah lain yang belum diterapkan seperti yang terjadi di Toro dan Katu tersebut</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r>
      <w:tr w:rsidR="003826EB" w:rsidRPr="003826EB" w:rsidTr="003826EB">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FIId1</w:t>
            </w:r>
          </w:p>
        </w:tc>
        <w:tc>
          <w:tcPr>
            <w:tcW w:w="1469" w:type="dxa"/>
            <w:vMerge w:val="restart"/>
            <w:tcBorders>
              <w:top w:val="nil"/>
              <w:left w:val="single" w:sz="4" w:space="0" w:color="auto"/>
              <w:bottom w:val="single" w:sz="4" w:space="0" w:color="000000"/>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Pencegahan kekerasan</w:t>
            </w:r>
          </w:p>
        </w:tc>
        <w:tc>
          <w:tcPr>
            <w:tcW w:w="1799" w:type="dxa"/>
            <w:vMerge w:val="restart"/>
            <w:tcBorders>
              <w:top w:val="nil"/>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Apakah resolusi konflik terkait </w:t>
            </w:r>
            <w:r w:rsidRPr="003826EB">
              <w:rPr>
                <w:rFonts w:ascii="Times New Roman" w:eastAsia="Times New Roman" w:hAnsi="Times New Roman" w:cs="Times New Roman"/>
                <w:color w:val="000000"/>
                <w:sz w:val="20"/>
                <w:szCs w:val="20"/>
                <w:lang w:eastAsia="id-ID"/>
              </w:rPr>
              <w:lastRenderedPageBreak/>
              <w:t>pengakuan hak masy adat/lokal sudah mencakup pencegahan kekerasan?</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lastRenderedPageBreak/>
              <w:t>Kehutanan</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Tidak diperoleh </w:t>
            </w:r>
            <w:r w:rsidRPr="003826EB">
              <w:rPr>
                <w:rFonts w:ascii="Times New Roman" w:eastAsia="Times New Roman" w:hAnsi="Times New Roman" w:cs="Times New Roman"/>
                <w:color w:val="000000"/>
                <w:sz w:val="20"/>
                <w:szCs w:val="20"/>
                <w:lang w:eastAsia="id-ID"/>
              </w:rPr>
              <w:lastRenderedPageBreak/>
              <w:t>Dokumen aturan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lastRenderedPageBreak/>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Di Dinas Kehutanan menerapkan penyelesaian </w:t>
            </w:r>
            <w:r w:rsidRPr="003826EB">
              <w:rPr>
                <w:rFonts w:ascii="Times New Roman" w:eastAsia="Times New Roman" w:hAnsi="Times New Roman" w:cs="Times New Roman"/>
                <w:color w:val="000000"/>
                <w:sz w:val="20"/>
                <w:szCs w:val="20"/>
                <w:lang w:eastAsia="id-ID"/>
              </w:rPr>
              <w:lastRenderedPageBreak/>
              <w:t>konflik anti kekerasn</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lastRenderedPageBreak/>
              <w:t>3</w:t>
            </w:r>
          </w:p>
        </w:tc>
      </w:tr>
      <w:tr w:rsidR="003826EB" w:rsidRPr="003826EB" w:rsidTr="003826EB">
        <w:trPr>
          <w:trHeight w:val="2475"/>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LSM</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diperoleh Dokumen aturan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Ya termasuk dalam penyegahan kekerasan, akan tetapi sayangnta tidak ada penyelesaiaan kasus yang diawali terlebih dahulu dengan mengajak berdialog. Bermacam-macam negosiasi telah dipakai akan tetapi akhirnya tidak tercapai dan baru ketika terjadi kekerasan akhirnya melakukan dialog. Jadi kekerasan terjadi dulu baru melakukan dialog.</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r>
      <w:tr w:rsidR="003826EB" w:rsidRPr="003826EB" w:rsidTr="003826EB">
        <w:trPr>
          <w:trHeight w:val="765"/>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Organisasi Masyarakat Adat Lokal</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diperoleh Dokumen aturan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Hampir semua resolusi konflik yang dilakukan telah mencakup terhadap pencegahan kekerasan </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3</w:t>
            </w:r>
          </w:p>
        </w:tc>
      </w:tr>
      <w:tr w:rsidR="003826EB" w:rsidRPr="003826EB" w:rsidTr="003826EB">
        <w:trPr>
          <w:trHeight w:val="22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FIId2</w:t>
            </w:r>
          </w:p>
        </w:tc>
        <w:tc>
          <w:tcPr>
            <w:tcW w:w="1469" w:type="dxa"/>
            <w:vMerge w:val="restart"/>
            <w:tcBorders>
              <w:top w:val="nil"/>
              <w:left w:val="single" w:sz="4" w:space="0" w:color="auto"/>
              <w:bottom w:val="single" w:sz="4" w:space="0" w:color="000000"/>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Penyelesaian konflik</w:t>
            </w:r>
          </w:p>
        </w:tc>
        <w:tc>
          <w:tcPr>
            <w:tcW w:w="1799" w:type="dxa"/>
            <w:vMerge w:val="restart"/>
            <w:tcBorders>
              <w:top w:val="nil"/>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Apakah resolusi konflik terkait pengakuan hak masy adat/lokal sudah mencakup penyelesaian konflik?</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Kehutanan</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diperoleh Dokumen aturan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Hal ini ditandai dengan menurunnya kasus-kasus terkait dengan konflik kawasan kehutanan. Minat masyarakat untuk ikut berpartisipasi dalam program kehutanan menjadi meningkat. Semakin berkurangnya penyerobotan lahan hutan oleh masyarakat, karena masyarakat diberikan hak kelola pada pola Hutan Desa, Hutan Kemasyarakatan dll.</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3</w:t>
            </w:r>
          </w:p>
        </w:tc>
      </w:tr>
      <w:tr w:rsidR="003826EB" w:rsidRPr="003826EB" w:rsidTr="003826EB">
        <w:trPr>
          <w:trHeight w:val="1020"/>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LSM</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diperoleh Dokumen aturan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Dalam resolusi konflik jarang berakhir dengan win-win solution, yang banyak adalah win – lost solution dan masyarakat yang menjadi korban/lost</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r>
      <w:tr w:rsidR="003826EB" w:rsidRPr="003826EB" w:rsidTr="003826EB">
        <w:trPr>
          <w:trHeight w:val="1665"/>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Organisasi Masyarakat Adat Lokal</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diperoleh Dokumen aturan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 Aman dalam memfasilitasi resolusi konflik bukan menumbuhkan konflik baru akan tetapi bagaimana mengurangi terjadinya konflik  konflik tanpa menimbulkan konflik bru lagi terjadi.</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3</w:t>
            </w:r>
          </w:p>
        </w:tc>
      </w:tr>
      <w:tr w:rsidR="003826EB" w:rsidRPr="003826EB" w:rsidTr="003826EB">
        <w:trPr>
          <w:trHeight w:val="163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FIId3</w:t>
            </w:r>
          </w:p>
        </w:tc>
        <w:tc>
          <w:tcPr>
            <w:tcW w:w="1469" w:type="dxa"/>
            <w:vMerge w:val="restart"/>
            <w:tcBorders>
              <w:top w:val="nil"/>
              <w:left w:val="single" w:sz="4" w:space="0" w:color="auto"/>
              <w:bottom w:val="single" w:sz="4" w:space="0" w:color="000000"/>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Penerimaan para pihak</w:t>
            </w:r>
          </w:p>
        </w:tc>
        <w:tc>
          <w:tcPr>
            <w:tcW w:w="1799" w:type="dxa"/>
            <w:vMerge w:val="restart"/>
            <w:tcBorders>
              <w:top w:val="nil"/>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Apakah resolusi konflik terkait pengakuan hak masy adat/lokal sudah mencakup penerimaan para pihak?</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Kehutanan</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diperoleh Dokumen aturan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Dalam resolusi konflik selalu melibatkan berbagai pihak antara lain mulai dari tokoh adat, tokoh masyarakat, pemerintah desa, camat. Dengan demikian maka resolusi konflik tersebut telah diterima oleh semua pihak.</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3</w:t>
            </w:r>
          </w:p>
        </w:tc>
      </w:tr>
      <w:tr w:rsidR="003826EB" w:rsidRPr="003826EB" w:rsidTr="003826EB">
        <w:trPr>
          <w:trHeight w:val="1515"/>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LSM</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diperoleh Dokumen aturan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Sebagai contoh kasus sawit---pihak perusahaan tidak bisa menerima usulan dari masyarakat , dengan demikian dapat dikatakan bahwa masih kurang memadai dalam penerimaan para pihak dalam resolusi konflik tersebut.</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r>
      <w:tr w:rsidR="003826EB" w:rsidRPr="003826EB" w:rsidTr="003826EB">
        <w:trPr>
          <w:trHeight w:val="2355"/>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Organisasi Masyarakat Adat Lokal</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diperoleh Dokumen aturan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 Lembaga Aman menganggap bahwa konflik terjadi dikarena masyarakat menjadi lebih tahu tentang hak-hak mereka dan sadar untuk memperjuangkan apa yang menjadi haknya.</w:t>
            </w:r>
            <w:r w:rsidRPr="003826EB">
              <w:rPr>
                <w:rFonts w:ascii="Times New Roman" w:eastAsia="Times New Roman" w:hAnsi="Times New Roman" w:cs="Times New Roman"/>
                <w:color w:val="000000"/>
                <w:sz w:val="20"/>
                <w:szCs w:val="20"/>
                <w:lang w:eastAsia="id-ID"/>
              </w:rPr>
              <w:br/>
              <w:t>- Untuk itu pihak-pihak lain harus memiliki kesadara untuk memberikan hak masyarakat tersebut sebagaimana mestinya dan menerima bahwa bahwa hak masyarakat adat/lokal harus diberkna</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r>
      <w:tr w:rsidR="003826EB" w:rsidRPr="003826EB" w:rsidTr="003826EB">
        <w:trPr>
          <w:trHeight w:val="133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FIId4</w:t>
            </w:r>
          </w:p>
        </w:tc>
        <w:tc>
          <w:tcPr>
            <w:tcW w:w="1469" w:type="dxa"/>
            <w:vMerge w:val="restart"/>
            <w:tcBorders>
              <w:top w:val="nil"/>
              <w:left w:val="single" w:sz="4" w:space="0" w:color="auto"/>
              <w:bottom w:val="single" w:sz="4" w:space="0" w:color="000000"/>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Komitmen tetap dijalankan</w:t>
            </w:r>
          </w:p>
        </w:tc>
        <w:tc>
          <w:tcPr>
            <w:tcW w:w="1799" w:type="dxa"/>
            <w:vMerge w:val="restart"/>
            <w:tcBorders>
              <w:top w:val="nil"/>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Apakah dalam resolusi konflik terkait pengakuan hak masyarakat adat/lokal, komitmen yang ada tetap dijalankan?</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Kehutanan</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diperoleh Dokumen aturan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Tidak semua mematuhi dalam kesepakatan yang telah dibuat. Hal ini biasanya  dilakukan oleh anggota masyarakat yang baru masuk yang pada saat resolusi konflik tidak terlibat </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r>
      <w:tr w:rsidR="003826EB" w:rsidRPr="003826EB" w:rsidTr="003826EB">
        <w:trPr>
          <w:trHeight w:val="510"/>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LSM</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diperoleh Dokumen aturan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Masyarakat masih dapat menghargai hasil keputusan, tetapi untuk pihak lain tidak tahu</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r>
      <w:tr w:rsidR="003826EB" w:rsidRPr="003826EB" w:rsidTr="003826EB">
        <w:trPr>
          <w:trHeight w:val="1905"/>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Organisasi Masyarakat Adat Lokal</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diperoleh Dokumen aturan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Masyarakat adat sudah mulai paham tentang hak-haknya, sehingga dalam konggres Nasional ke VI Masyarakat Adat melahirkan visi baru yaitu hidup berdaulat, mandiri, bermartabat dan berbudaya. </w:t>
            </w:r>
            <w:r w:rsidRPr="003826EB">
              <w:rPr>
                <w:rFonts w:ascii="Times New Roman" w:eastAsia="Times New Roman" w:hAnsi="Times New Roman" w:cs="Times New Roman"/>
                <w:color w:val="000000"/>
                <w:sz w:val="20"/>
                <w:szCs w:val="20"/>
                <w:lang w:eastAsia="id-ID"/>
              </w:rPr>
              <w:br/>
              <w:t>- Untuk itu dalam setiap resolusi konflik hasilnya harus komitmen untuk dijalankan dan selama ini kami selalu komitmen untuk mejalankannya</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3</w:t>
            </w:r>
          </w:p>
        </w:tc>
      </w:tr>
      <w:tr w:rsidR="003826EB" w:rsidRPr="003826EB" w:rsidTr="003826EB">
        <w:trPr>
          <w:trHeight w:val="255"/>
        </w:trPr>
        <w:tc>
          <w:tcPr>
            <w:tcW w:w="71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469"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79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2073"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Indikator</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e. Jumlah/frekuensi  dan kualitas pemberitaan terkait pengakuan hak masy adat/lokal meningkat</w:t>
            </w:r>
          </w:p>
        </w:tc>
      </w:tr>
      <w:tr w:rsidR="003826EB" w:rsidRPr="003826EB" w:rsidTr="003826EB">
        <w:trPr>
          <w:trHeight w:val="255"/>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single" w:sz="4" w:space="0" w:color="auto"/>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xml:space="preserve"> : Media cetak</w:t>
            </w:r>
          </w:p>
        </w:tc>
      </w:tr>
      <w:tr w:rsidR="003826EB" w:rsidRPr="003826EB" w:rsidTr="003826E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Dokumen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Dokumen</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Wawancara</w:t>
            </w:r>
          </w:p>
        </w:tc>
      </w:tr>
      <w:tr w:rsidR="003826EB" w:rsidRPr="003826EB" w:rsidTr="003826EB">
        <w:trPr>
          <w:trHeight w:val="1815"/>
        </w:trPr>
        <w:tc>
          <w:tcPr>
            <w:tcW w:w="714" w:type="dxa"/>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lastRenderedPageBreak/>
              <w:t>FIIe1</w:t>
            </w:r>
          </w:p>
        </w:tc>
        <w:tc>
          <w:tcPr>
            <w:tcW w:w="146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Jumlah/frekuensi  dan kualitas pemberitaan terkait pengakuan hak masy adat/lokal meningkat</w:t>
            </w:r>
          </w:p>
        </w:tc>
        <w:tc>
          <w:tcPr>
            <w:tcW w:w="179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Apakah jumlah/frekuensi  dan kua-litas pemberitaan terkait pengaku-an hak masy adat/lokal mening-kat?</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Jurnalis</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diperoleh dokumen atutran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Dahal hal pemberitaan tergantug pada kegiatan yang dilakukan ole Pokja REDD atau Panttau REDD+, seghingga rata-rata pemberitaannya adalah 1 kali dalam sebulan</w:t>
            </w:r>
            <w:r w:rsidRPr="003826EB">
              <w:rPr>
                <w:rFonts w:ascii="Times New Roman" w:eastAsia="Times New Roman" w:hAnsi="Times New Roman" w:cs="Times New Roman"/>
                <w:color w:val="000000"/>
                <w:sz w:val="20"/>
                <w:szCs w:val="20"/>
                <w:lang w:eastAsia="id-ID"/>
              </w:rPr>
              <w:br/>
              <w:t>- Frekquensi tersebut juga dikarena bahan beritanya kurang memadai</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r>
      <w:tr w:rsidR="003826EB" w:rsidRPr="003826EB" w:rsidTr="003826EB">
        <w:trPr>
          <w:trHeight w:val="1500"/>
        </w:trPr>
        <w:tc>
          <w:tcPr>
            <w:tcW w:w="714" w:type="dxa"/>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FIIe2</w:t>
            </w:r>
          </w:p>
        </w:tc>
        <w:tc>
          <w:tcPr>
            <w:tcW w:w="146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Cakupan berita  mengenai pengakuan pejabat atas hak masyarakat adat</w:t>
            </w:r>
          </w:p>
        </w:tc>
        <w:tc>
          <w:tcPr>
            <w:tcW w:w="179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Apakah cakupan berita mengenai pengakuan pejabat atas hak ma-syarakat adat sudah memadai?</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Jurnalis</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diperoleh dokumen atutran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Cakupan pemberitaan dalam hal tersebut masih sangat sedikit sekali, jarang sekali ada bicara bicara memberikan pengakuan masyarakat terhadap hak-hak yang harus diperoleh</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r>
      <w:tr w:rsidR="003826EB" w:rsidRPr="003826EB" w:rsidTr="003826EB">
        <w:trPr>
          <w:trHeight w:val="915"/>
        </w:trPr>
        <w:tc>
          <w:tcPr>
            <w:tcW w:w="714" w:type="dxa"/>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FIIe3</w:t>
            </w:r>
          </w:p>
        </w:tc>
        <w:tc>
          <w:tcPr>
            <w:tcW w:w="146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Posisi berita dalam media cetak </w:t>
            </w:r>
          </w:p>
        </w:tc>
        <w:tc>
          <w:tcPr>
            <w:tcW w:w="179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Apakah Posisi berita dalam media cetak sudah memadai?</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Jurnalis</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diperoleh dokumen atutran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Saya menganggapny sudah memadai Karena ditempatkan pada halaman yang mudah dibaca oleh kalayak</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3</w:t>
            </w:r>
          </w:p>
        </w:tc>
      </w:tr>
      <w:tr w:rsidR="003826EB" w:rsidRPr="003826EB" w:rsidTr="003826EB">
        <w:trPr>
          <w:trHeight w:val="990"/>
        </w:trPr>
        <w:tc>
          <w:tcPr>
            <w:tcW w:w="714" w:type="dxa"/>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FIIe4</w:t>
            </w:r>
          </w:p>
        </w:tc>
        <w:tc>
          <w:tcPr>
            <w:tcW w:w="146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Posisi media dalam pemberitaan </w:t>
            </w:r>
          </w:p>
        </w:tc>
        <w:tc>
          <w:tcPr>
            <w:tcW w:w="179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Apakah Posisi media dalam pemberitaan sudah memadai?</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Jurnalis</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diperoleh dokumen atutran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yang Saya rasanya selama ini kawan-kawan media selalu dilibatkan dalam setiap kegiatan yang terkait dengan program REDD+ ini</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4</w:t>
            </w:r>
          </w:p>
        </w:tc>
      </w:tr>
      <w:tr w:rsidR="003826EB" w:rsidRPr="003826EB" w:rsidTr="003826EB">
        <w:trPr>
          <w:trHeight w:val="255"/>
        </w:trPr>
        <w:tc>
          <w:tcPr>
            <w:tcW w:w="71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469"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79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2073"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255"/>
        </w:trPr>
        <w:tc>
          <w:tcPr>
            <w:tcW w:w="3982" w:type="dxa"/>
            <w:gridSpan w:val="3"/>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Isu dalam PGA REDD+</w:t>
            </w:r>
          </w:p>
        </w:tc>
        <w:tc>
          <w:tcPr>
            <w:tcW w:w="5521" w:type="dxa"/>
            <w:gridSpan w:val="4"/>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405"/>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Indikator</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6903" w:type="dxa"/>
            <w:gridSpan w:val="5"/>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a. Jumlah biaya transaksi pengurusan izin pengelolaan hutankelola hutan dan lahan gambut</w:t>
            </w:r>
          </w:p>
        </w:tc>
      </w:tr>
      <w:tr w:rsidR="003826EB" w:rsidRPr="003826EB" w:rsidTr="003826EB">
        <w:trPr>
          <w:trHeight w:val="45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Wawancara – Sumber informasi</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single" w:sz="4" w:space="0" w:color="auto"/>
              <w:right w:val="nil"/>
            </w:tcBorders>
            <w:shd w:val="clear" w:color="auto" w:fill="auto"/>
            <w:hideMark/>
          </w:tcPr>
          <w:p w:rsidR="003826EB" w:rsidRPr="003826EB" w:rsidRDefault="003826EB" w:rsidP="003826EB">
            <w:pPr>
              <w:spacing w:after="24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Pengusaha, Organisasi Masyarakat Adat, LSM</w:t>
            </w:r>
          </w:p>
        </w:tc>
      </w:tr>
      <w:tr w:rsidR="003826EB" w:rsidRPr="003826EB" w:rsidTr="003826EB">
        <w:trPr>
          <w:trHeight w:val="60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Dokumen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Dokumen</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Wawancara</w:t>
            </w:r>
          </w:p>
        </w:tc>
      </w:tr>
      <w:tr w:rsidR="003826EB" w:rsidRPr="003826EB" w:rsidTr="003826EB">
        <w:trPr>
          <w:trHeight w:val="193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FIIIa1</w:t>
            </w:r>
          </w:p>
        </w:tc>
        <w:tc>
          <w:tcPr>
            <w:tcW w:w="1469" w:type="dxa"/>
            <w:vMerge w:val="restart"/>
            <w:tcBorders>
              <w:top w:val="nil"/>
              <w:left w:val="single" w:sz="4" w:space="0" w:color="auto"/>
              <w:bottom w:val="single" w:sz="4" w:space="0" w:color="000000"/>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 xml:space="preserve">Jumlah biaya transaksi pengurusan izin pengelolaan hutan </w:t>
            </w:r>
          </w:p>
        </w:tc>
        <w:tc>
          <w:tcPr>
            <w:tcW w:w="1799" w:type="dxa"/>
            <w:vMerge w:val="restart"/>
            <w:tcBorders>
              <w:top w:val="nil"/>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Jumlah biaya transaksi pengurusan izin pengelolaan hutan</w:t>
            </w:r>
          </w:p>
        </w:tc>
        <w:tc>
          <w:tcPr>
            <w:tcW w:w="1074"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LSM</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tidak ada Perdanya</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 xml:space="preserve"> NGO tidak pernah bisa mengakses informasi tentang jumlah biaya transaksi dalam pengurusan surat izin. Pernah terjadi Blok yang Berbeda dari izin yang dikeluarkan dan kita melakukan gugatan tapi tidak bisa tembus. Belum bisa diakses tentang biaya perzinan</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1</w:t>
            </w:r>
          </w:p>
        </w:tc>
      </w:tr>
      <w:tr w:rsidR="003826EB" w:rsidRPr="003826EB" w:rsidTr="003826EB">
        <w:trPr>
          <w:trHeight w:val="2940"/>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Organisasi Masyarakat Adat Lokal</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tidak ada Perdanya</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1</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Kebanyakan memang kurang sesuai dengan aturan, hal ini secara tidak langsung berakibat pengelolaan hutan yang tidak lestari, karena ini awal terjadinya korupsi, kolusi di bidang kehutanan.</w:t>
            </w:r>
            <w:r w:rsidRPr="003826EB">
              <w:rPr>
                <w:rFonts w:ascii="Times New Roman" w:eastAsia="Times New Roman" w:hAnsi="Times New Roman" w:cs="Times New Roman"/>
                <w:sz w:val="20"/>
                <w:szCs w:val="20"/>
                <w:lang w:eastAsia="id-ID"/>
              </w:rPr>
              <w:br/>
              <w:t>- Kami agak ketinggalan dengan informasi tentang revisi UU Kehutanan yang memberikan kesempatan kepada masyarakat untuk pengelolaan hutan</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2</w:t>
            </w:r>
          </w:p>
        </w:tc>
      </w:tr>
      <w:tr w:rsidR="003826EB" w:rsidRPr="003826EB" w:rsidTr="003826EB">
        <w:trPr>
          <w:trHeight w:val="255"/>
        </w:trPr>
        <w:tc>
          <w:tcPr>
            <w:tcW w:w="71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469"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79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p>
        </w:tc>
        <w:tc>
          <w:tcPr>
            <w:tcW w:w="1186"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p>
        </w:tc>
        <w:tc>
          <w:tcPr>
            <w:tcW w:w="1188"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p>
        </w:tc>
        <w:tc>
          <w:tcPr>
            <w:tcW w:w="2073"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p>
        </w:tc>
      </w:tr>
      <w:tr w:rsidR="003826EB" w:rsidRPr="003826EB" w:rsidTr="003826EB">
        <w:trPr>
          <w:trHeight w:val="69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Indikator</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6903" w:type="dxa"/>
            <w:gridSpan w:val="5"/>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sz w:val="20"/>
                <w:szCs w:val="20"/>
                <w:lang w:eastAsia="id-ID"/>
              </w:rPr>
            </w:pPr>
            <w:r w:rsidRPr="003826EB">
              <w:rPr>
                <w:rFonts w:ascii="Times New Roman" w:eastAsia="Times New Roman" w:hAnsi="Times New Roman" w:cs="Times New Roman"/>
                <w:b/>
                <w:bCs/>
                <w:sz w:val="20"/>
                <w:szCs w:val="20"/>
                <w:lang w:eastAsia="id-ID"/>
              </w:rPr>
              <w:t xml:space="preserve">: b. Kewenangan dan intervensi pemerintah dalam proses pengelolaan hutan yang menjadi domain pelaku </w:t>
            </w:r>
            <w:r w:rsidRPr="003826EB">
              <w:rPr>
                <w:rFonts w:ascii="Times New Roman" w:eastAsia="Times New Roman" w:hAnsi="Times New Roman" w:cs="Times New Roman"/>
                <w:b/>
                <w:bCs/>
                <w:sz w:val="20"/>
                <w:szCs w:val="20"/>
                <w:lang w:eastAsia="id-ID"/>
              </w:rPr>
              <w:br/>
              <w:t xml:space="preserve">  pemegang ijin</w:t>
            </w: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single" w:sz="4" w:space="0" w:color="auto"/>
              <w:right w:val="nil"/>
            </w:tcBorders>
            <w:shd w:val="clear" w:color="auto" w:fill="auto"/>
            <w:hideMark/>
          </w:tcPr>
          <w:p w:rsidR="003826EB" w:rsidRPr="003826EB" w:rsidRDefault="003826EB" w:rsidP="003826EB">
            <w:pPr>
              <w:spacing w:after="240" w:line="240" w:lineRule="auto"/>
              <w:rPr>
                <w:rFonts w:ascii="Times New Roman" w:eastAsia="Times New Roman" w:hAnsi="Times New Roman" w:cs="Times New Roman"/>
                <w:b/>
                <w:bCs/>
                <w:sz w:val="20"/>
                <w:szCs w:val="20"/>
                <w:lang w:eastAsia="id-ID"/>
              </w:rPr>
            </w:pPr>
            <w:r w:rsidRPr="003826EB">
              <w:rPr>
                <w:rFonts w:ascii="Times New Roman" w:eastAsia="Times New Roman" w:hAnsi="Times New Roman" w:cs="Times New Roman"/>
                <w:b/>
                <w:bCs/>
                <w:sz w:val="20"/>
                <w:szCs w:val="20"/>
                <w:lang w:eastAsia="id-ID"/>
              </w:rPr>
              <w:t>: Peraturan Prosedur Pelaksanaan Pengurusan Izin</w:t>
            </w:r>
          </w:p>
        </w:tc>
      </w:tr>
      <w:tr w:rsidR="003826EB" w:rsidRPr="003826EB" w:rsidTr="003826E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sz w:val="20"/>
                <w:szCs w:val="20"/>
                <w:lang w:eastAsia="id-ID"/>
              </w:rPr>
            </w:pPr>
            <w:r w:rsidRPr="003826EB">
              <w:rPr>
                <w:rFonts w:ascii="Times New Roman" w:eastAsia="Times New Roman" w:hAnsi="Times New Roman" w:cs="Times New Roman"/>
                <w:b/>
                <w:bCs/>
                <w:sz w:val="20"/>
                <w:szCs w:val="20"/>
                <w:lang w:eastAsia="id-ID"/>
              </w:rPr>
              <w:t>Sumber Data</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sz w:val="20"/>
                <w:szCs w:val="20"/>
                <w:lang w:eastAsia="id-ID"/>
              </w:rPr>
            </w:pPr>
            <w:r w:rsidRPr="003826EB">
              <w:rPr>
                <w:rFonts w:ascii="Times New Roman" w:eastAsia="Times New Roman" w:hAnsi="Times New Roman" w:cs="Times New Roman"/>
                <w:b/>
                <w:bCs/>
                <w:sz w:val="20"/>
                <w:szCs w:val="20"/>
                <w:lang w:eastAsia="id-ID"/>
              </w:rPr>
              <w:t>Ringkasan Dokumen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sz w:val="20"/>
                <w:szCs w:val="20"/>
                <w:lang w:eastAsia="id-ID"/>
              </w:rPr>
            </w:pPr>
            <w:r w:rsidRPr="003826EB">
              <w:rPr>
                <w:rFonts w:ascii="Times New Roman" w:eastAsia="Times New Roman" w:hAnsi="Times New Roman" w:cs="Times New Roman"/>
                <w:b/>
                <w:bCs/>
                <w:sz w:val="20"/>
                <w:szCs w:val="20"/>
                <w:lang w:eastAsia="id-ID"/>
              </w:rPr>
              <w:t>Kategori Data Dokumen</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sz w:val="20"/>
                <w:szCs w:val="20"/>
                <w:lang w:eastAsia="id-ID"/>
              </w:rPr>
            </w:pPr>
            <w:r w:rsidRPr="003826EB">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sz w:val="20"/>
                <w:szCs w:val="20"/>
                <w:lang w:eastAsia="id-ID"/>
              </w:rPr>
            </w:pPr>
            <w:r w:rsidRPr="003826EB">
              <w:rPr>
                <w:rFonts w:ascii="Times New Roman" w:eastAsia="Times New Roman" w:hAnsi="Times New Roman" w:cs="Times New Roman"/>
                <w:b/>
                <w:bCs/>
                <w:sz w:val="20"/>
                <w:szCs w:val="20"/>
                <w:lang w:eastAsia="id-ID"/>
              </w:rPr>
              <w:t>Kategori Data Wawancara</w:t>
            </w:r>
          </w:p>
        </w:tc>
      </w:tr>
      <w:tr w:rsidR="003826EB" w:rsidRPr="003826EB" w:rsidTr="003826EB">
        <w:trPr>
          <w:trHeight w:val="126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FIIIb1</w:t>
            </w:r>
          </w:p>
        </w:tc>
        <w:tc>
          <w:tcPr>
            <w:tcW w:w="1469" w:type="dxa"/>
            <w:vMerge w:val="restart"/>
            <w:tcBorders>
              <w:top w:val="nil"/>
              <w:left w:val="single" w:sz="4" w:space="0" w:color="auto"/>
              <w:bottom w:val="single" w:sz="4" w:space="0" w:color="000000"/>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 xml:space="preserve">Jumlah tahapan dan bentuk persyaratan setiap tahapan dalam pengurusan izin </w:t>
            </w:r>
          </w:p>
        </w:tc>
        <w:tc>
          <w:tcPr>
            <w:tcW w:w="1799" w:type="dxa"/>
            <w:vMerge w:val="restart"/>
            <w:tcBorders>
              <w:top w:val="nil"/>
              <w:left w:val="single" w:sz="4" w:space="0" w:color="auto"/>
              <w:bottom w:val="single" w:sz="4" w:space="0" w:color="000000"/>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Kehutanan</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selama ini perizinan menggunakan PP Nomor 6 tahun 2007, tidak ada Perda perizinan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3</w:t>
            </w:r>
          </w:p>
        </w:tc>
        <w:tc>
          <w:tcPr>
            <w:tcW w:w="2073"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 </w:t>
            </w:r>
          </w:p>
        </w:tc>
      </w:tr>
      <w:tr w:rsidR="003826EB" w:rsidRPr="003826EB" w:rsidTr="003826EB">
        <w:trPr>
          <w:trHeight w:val="1320"/>
        </w:trPr>
        <w:tc>
          <w:tcPr>
            <w:tcW w:w="714"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p>
        </w:tc>
        <w:tc>
          <w:tcPr>
            <w:tcW w:w="179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Dinas Pertanian</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selama ini perizinan menggunakan PP Nomor 6 tahun 2007, tidak ada Perda perizinan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3</w:t>
            </w:r>
          </w:p>
        </w:tc>
        <w:tc>
          <w:tcPr>
            <w:tcW w:w="2073"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 </w:t>
            </w:r>
          </w:p>
        </w:tc>
      </w:tr>
      <w:tr w:rsidR="003826EB" w:rsidRPr="003826EB" w:rsidTr="003826EB">
        <w:trPr>
          <w:trHeight w:val="2145"/>
        </w:trPr>
        <w:tc>
          <w:tcPr>
            <w:tcW w:w="714"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p>
        </w:tc>
        <w:tc>
          <w:tcPr>
            <w:tcW w:w="179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000000" w:fill="FFFFFF"/>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BPN</w:t>
            </w:r>
          </w:p>
        </w:tc>
        <w:tc>
          <w:tcPr>
            <w:tcW w:w="1186" w:type="dxa"/>
            <w:tcBorders>
              <w:top w:val="nil"/>
              <w:left w:val="nil"/>
              <w:bottom w:val="single" w:sz="4" w:space="0" w:color="auto"/>
              <w:right w:val="single" w:sz="4" w:space="0" w:color="auto"/>
            </w:tcBorders>
            <w:shd w:val="clear" w:color="000000" w:fill="FFFFFF"/>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Tidak ada dokumen dimaksud di kantor BPN, kemungkinan dokumen tersebut berada di Balai konservasi sumberdaya alam dan juga di Taman nasional</w:t>
            </w:r>
          </w:p>
        </w:tc>
        <w:tc>
          <w:tcPr>
            <w:tcW w:w="1188" w:type="dxa"/>
            <w:tcBorders>
              <w:top w:val="nil"/>
              <w:left w:val="nil"/>
              <w:bottom w:val="single" w:sz="4" w:space="0" w:color="auto"/>
              <w:right w:val="single" w:sz="4" w:space="0" w:color="auto"/>
            </w:tcBorders>
            <w:shd w:val="clear" w:color="000000" w:fill="FFFFFF"/>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r>
      <w:tr w:rsidR="003826EB" w:rsidRPr="003826EB" w:rsidTr="003826EB">
        <w:trPr>
          <w:trHeight w:val="255"/>
        </w:trPr>
        <w:tc>
          <w:tcPr>
            <w:tcW w:w="71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p>
        </w:tc>
        <w:tc>
          <w:tcPr>
            <w:tcW w:w="146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p>
        </w:tc>
        <w:tc>
          <w:tcPr>
            <w:tcW w:w="179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2073"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255"/>
        </w:trPr>
        <w:tc>
          <w:tcPr>
            <w:tcW w:w="3982" w:type="dxa"/>
            <w:gridSpan w:val="3"/>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Isu dalam PGA REDD+</w:t>
            </w:r>
          </w:p>
        </w:tc>
        <w:tc>
          <w:tcPr>
            <w:tcW w:w="5521" w:type="dxa"/>
            <w:gridSpan w:val="4"/>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63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Indikator</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6903" w:type="dxa"/>
            <w:gridSpan w:val="5"/>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xml:space="preserve">: a. Jumlah kelompok masyarakat adat/lokal yang secara faktual mengelola hutan, gambut, kebun, termasuk </w:t>
            </w:r>
            <w:r w:rsidRPr="003826EB">
              <w:rPr>
                <w:rFonts w:ascii="Times New Roman" w:eastAsia="Times New Roman" w:hAnsi="Times New Roman" w:cs="Times New Roman"/>
                <w:b/>
                <w:bCs/>
                <w:color w:val="000000"/>
                <w:sz w:val="20"/>
                <w:szCs w:val="20"/>
                <w:lang w:eastAsia="id-ID"/>
              </w:rPr>
              <w:br/>
              <w:t xml:space="preserve">  Izin HTR/Hutan Desa/Hutan Kemasyarakatan dalam satu provinsi/kab/kota</w:t>
            </w: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single" w:sz="4" w:space="0" w:color="auto"/>
              <w:right w:val="nil"/>
            </w:tcBorders>
            <w:shd w:val="clear" w:color="auto" w:fill="auto"/>
            <w:hideMark/>
          </w:tcPr>
          <w:p w:rsidR="003826EB" w:rsidRPr="003826EB" w:rsidRDefault="003826EB" w:rsidP="003826EB">
            <w:pPr>
              <w:spacing w:after="24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Kementerian &amp; Dinas Kehutanan, Kementerian &amp; Dinas Pertanian, BPN &amp; BPN-Daerah</w:t>
            </w:r>
          </w:p>
        </w:tc>
      </w:tr>
      <w:tr w:rsidR="003826EB" w:rsidRPr="003826EB" w:rsidTr="003826E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Dokumen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Dokumen</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Wawancara</w:t>
            </w:r>
          </w:p>
        </w:tc>
      </w:tr>
      <w:tr w:rsidR="003826EB" w:rsidRPr="003826EB" w:rsidTr="003826EB">
        <w:trPr>
          <w:trHeight w:val="3045"/>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lastRenderedPageBreak/>
              <w:t>FIVa1</w:t>
            </w:r>
          </w:p>
        </w:tc>
        <w:tc>
          <w:tcPr>
            <w:tcW w:w="1469" w:type="dxa"/>
            <w:vMerge w:val="restart"/>
            <w:tcBorders>
              <w:top w:val="nil"/>
              <w:left w:val="single" w:sz="4" w:space="0" w:color="auto"/>
              <w:bottom w:val="single" w:sz="4" w:space="0" w:color="000000"/>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Jumlah kelompok masyarakat adat/lokal yang secara faktual mengelola hutan, gambut, ke-bun, termasuk Izin HTR/Hutan Desa/Hutan Kemasyarakatan dalam satu provinsi/kab/kota</w:t>
            </w:r>
          </w:p>
        </w:tc>
        <w:tc>
          <w:tcPr>
            <w:tcW w:w="1799" w:type="dxa"/>
            <w:vMerge w:val="restart"/>
            <w:tcBorders>
              <w:top w:val="nil"/>
              <w:left w:val="single" w:sz="4" w:space="0" w:color="auto"/>
              <w:bottom w:val="single" w:sz="4" w:space="0" w:color="000000"/>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Kehutanan</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 Laporan Akhir (final report) hasil pengumpulan data/informasi/peta dalam rangka penetapan kabupaten/kota prioritas lokasi demonstration activities (da) REDD+  provinsi sulawesi tengah, 2012</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c>
          <w:tcPr>
            <w:tcW w:w="2073"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r>
      <w:tr w:rsidR="003826EB" w:rsidRPr="003826EB" w:rsidTr="003826EB">
        <w:trPr>
          <w:trHeight w:val="765"/>
        </w:trPr>
        <w:tc>
          <w:tcPr>
            <w:tcW w:w="714"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p>
        </w:tc>
        <w:tc>
          <w:tcPr>
            <w:tcW w:w="179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Dinas Pertanian</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diperoleh Aturannya</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r>
      <w:tr w:rsidR="003826EB" w:rsidRPr="003826EB" w:rsidTr="003826EB">
        <w:trPr>
          <w:trHeight w:val="3855"/>
        </w:trPr>
        <w:tc>
          <w:tcPr>
            <w:tcW w:w="714"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p>
        </w:tc>
        <w:tc>
          <w:tcPr>
            <w:tcW w:w="179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000000" w:fill="FFFFFF"/>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BPN</w:t>
            </w:r>
          </w:p>
        </w:tc>
        <w:tc>
          <w:tcPr>
            <w:tcW w:w="1186" w:type="dxa"/>
            <w:tcBorders>
              <w:top w:val="nil"/>
              <w:left w:val="nil"/>
              <w:bottom w:val="single" w:sz="4" w:space="0" w:color="auto"/>
              <w:right w:val="single" w:sz="4" w:space="0" w:color="auto"/>
            </w:tcBorders>
            <w:shd w:val="clear" w:color="000000" w:fill="FFFFFF"/>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BPN tidak memiliki dokumen terkait dengan pengurusan izin dalam pengusahaan hutan, semua dokumen tersebut mungkin ada di SKPD terkait seperti Dinas Kehutanan.</w:t>
            </w:r>
            <w:r w:rsidRPr="003826EB">
              <w:rPr>
                <w:rFonts w:ascii="Times New Roman" w:eastAsia="Times New Roman" w:hAnsi="Times New Roman" w:cs="Times New Roman"/>
                <w:color w:val="000000"/>
                <w:sz w:val="20"/>
                <w:szCs w:val="20"/>
                <w:lang w:eastAsia="id-ID"/>
              </w:rPr>
              <w:br/>
              <w:t>• Biasanya di Kantor Pemda juga ada dokumen tentang pengurusan izin</w:t>
            </w:r>
          </w:p>
        </w:tc>
        <w:tc>
          <w:tcPr>
            <w:tcW w:w="1188" w:type="dxa"/>
            <w:tcBorders>
              <w:top w:val="nil"/>
              <w:left w:val="nil"/>
              <w:bottom w:val="single" w:sz="4" w:space="0" w:color="auto"/>
              <w:right w:val="single" w:sz="4" w:space="0" w:color="auto"/>
            </w:tcBorders>
            <w:shd w:val="clear" w:color="000000" w:fill="FFFFFF"/>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r>
      <w:tr w:rsidR="003826EB" w:rsidRPr="003826EB" w:rsidTr="003826EB">
        <w:trPr>
          <w:trHeight w:val="255"/>
        </w:trPr>
        <w:tc>
          <w:tcPr>
            <w:tcW w:w="71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p>
        </w:tc>
        <w:tc>
          <w:tcPr>
            <w:tcW w:w="146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p>
        </w:tc>
        <w:tc>
          <w:tcPr>
            <w:tcW w:w="179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2073"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Indikator</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6903" w:type="dxa"/>
            <w:gridSpan w:val="5"/>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b. Jumlah kawasan yang dikelola secara berkelanjutan oleh pelaku pengelolaan hutan</w:t>
            </w: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single" w:sz="4" w:space="0" w:color="auto"/>
              <w:right w:val="nil"/>
            </w:tcBorders>
            <w:shd w:val="clear" w:color="auto" w:fill="auto"/>
            <w:hideMark/>
          </w:tcPr>
          <w:p w:rsidR="003826EB" w:rsidRPr="003826EB" w:rsidRDefault="003826EB" w:rsidP="003826EB">
            <w:pPr>
              <w:spacing w:after="24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Pelaku Pemegang Izin, Kementerian &amp; Dinas Kehutanan (Provinsi &amp; Kabupaten)</w:t>
            </w:r>
          </w:p>
        </w:tc>
      </w:tr>
      <w:tr w:rsidR="003826EB" w:rsidRPr="003826EB" w:rsidTr="003826E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Dokumen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Dokumen</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Wawancara</w:t>
            </w:r>
          </w:p>
        </w:tc>
      </w:tr>
      <w:tr w:rsidR="003826EB" w:rsidRPr="003826EB" w:rsidTr="003826EB">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FIVb1</w:t>
            </w:r>
          </w:p>
        </w:tc>
        <w:tc>
          <w:tcPr>
            <w:tcW w:w="146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 xml:space="preserve">Jumlah kawasan yang dikelola secara berkelanjutan oleh pelaku pengelolaan hutan </w:t>
            </w:r>
          </w:p>
        </w:tc>
        <w:tc>
          <w:tcPr>
            <w:tcW w:w="179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Kehutanan</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Hutan Desa di Desa Namo, Kec. Kulawi, Kab. Sigi, ada di dkumen Renstra Dishut dan laporan tahunan Dishut</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3</w:t>
            </w:r>
          </w:p>
        </w:tc>
        <w:tc>
          <w:tcPr>
            <w:tcW w:w="2073"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r>
      <w:tr w:rsidR="003826EB" w:rsidRPr="003826EB" w:rsidTr="003826EB">
        <w:trPr>
          <w:trHeight w:val="255"/>
        </w:trPr>
        <w:tc>
          <w:tcPr>
            <w:tcW w:w="71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p>
        </w:tc>
        <w:tc>
          <w:tcPr>
            <w:tcW w:w="146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p>
        </w:tc>
        <w:tc>
          <w:tcPr>
            <w:tcW w:w="179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2073"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lastRenderedPageBreak/>
              <w:t>Indikator</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6903" w:type="dxa"/>
            <w:gridSpan w:val="5"/>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c. Persentase hutan yang memiliki pengelola (KPH)</w:t>
            </w: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single" w:sz="4" w:space="0" w:color="auto"/>
              <w:right w:val="nil"/>
            </w:tcBorders>
            <w:shd w:val="clear" w:color="auto" w:fill="auto"/>
            <w:hideMark/>
          </w:tcPr>
          <w:p w:rsidR="003826EB" w:rsidRPr="003826EB" w:rsidRDefault="003826EB" w:rsidP="003826EB">
            <w:pPr>
              <w:spacing w:after="24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Kementerian Kehutanan &amp; Dinas Kehutanan (Provinsi &amp; Kabupaten)</w:t>
            </w:r>
          </w:p>
        </w:tc>
      </w:tr>
      <w:tr w:rsidR="003826EB" w:rsidRPr="003826EB" w:rsidTr="003826E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Dokumen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Dokumen</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Wawancara</w:t>
            </w:r>
          </w:p>
        </w:tc>
      </w:tr>
      <w:tr w:rsidR="003826EB" w:rsidRPr="003826EB" w:rsidTr="003826EB">
        <w:trPr>
          <w:trHeight w:val="2475"/>
        </w:trPr>
        <w:tc>
          <w:tcPr>
            <w:tcW w:w="714" w:type="dxa"/>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FIVc1</w:t>
            </w:r>
          </w:p>
        </w:tc>
        <w:tc>
          <w:tcPr>
            <w:tcW w:w="146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Persentase hutan yang memiliki pengelola (KPH)</w:t>
            </w:r>
          </w:p>
        </w:tc>
        <w:tc>
          <w:tcPr>
            <w:tcW w:w="179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Kehutanan</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KPH. Tinombo Dampelas – Donggala – Parigi Moutong tetapi dokumen aturan daerahnya tidak ada dan penetapannya menggunakan PP Dephut No, 6 /2007 pasal 7, 8 dan 9.KPH Sintuvu Maroso – Poso</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c>
          <w:tcPr>
            <w:tcW w:w="2073"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r>
      <w:tr w:rsidR="003826EB" w:rsidRPr="003826EB" w:rsidTr="003826EB">
        <w:trPr>
          <w:trHeight w:val="255"/>
        </w:trPr>
        <w:tc>
          <w:tcPr>
            <w:tcW w:w="71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p>
        </w:tc>
        <w:tc>
          <w:tcPr>
            <w:tcW w:w="146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p>
        </w:tc>
        <w:tc>
          <w:tcPr>
            <w:tcW w:w="179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2073"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Indikator</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6903" w:type="dxa"/>
            <w:gridSpan w:val="5"/>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xml:space="preserve">: d. Jumlah pengelolaan hutan berbasis ecological services    </w:t>
            </w: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single" w:sz="4" w:space="0" w:color="auto"/>
              <w:right w:val="nil"/>
            </w:tcBorders>
            <w:shd w:val="clear" w:color="auto" w:fill="auto"/>
            <w:hideMark/>
          </w:tcPr>
          <w:p w:rsidR="003826EB" w:rsidRPr="003826EB" w:rsidRDefault="003826EB" w:rsidP="003826EB">
            <w:pPr>
              <w:spacing w:after="24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Kementerian Kehutanan (Dirjen PHKA, BUK), Dinas Kehutanan (Provinsi &amp; Kabupaten)</w:t>
            </w:r>
          </w:p>
        </w:tc>
      </w:tr>
      <w:tr w:rsidR="003826EB" w:rsidRPr="003826EB" w:rsidTr="003826E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Dokumen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Dokumen</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Wawancara</w:t>
            </w:r>
          </w:p>
        </w:tc>
      </w:tr>
      <w:tr w:rsidR="003826EB" w:rsidRPr="003826EB" w:rsidTr="003826EB">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FIVd1</w:t>
            </w:r>
          </w:p>
        </w:tc>
        <w:tc>
          <w:tcPr>
            <w:tcW w:w="146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 xml:space="preserve">Jumlah pengelolaan hutan berbasis ecological services </w:t>
            </w:r>
          </w:p>
        </w:tc>
        <w:tc>
          <w:tcPr>
            <w:tcW w:w="179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Kehutanan</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didapat dokumennya</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r>
      <w:tr w:rsidR="003826EB" w:rsidRPr="003826EB" w:rsidTr="003826EB">
        <w:trPr>
          <w:trHeight w:val="255"/>
        </w:trPr>
        <w:tc>
          <w:tcPr>
            <w:tcW w:w="71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p>
        </w:tc>
        <w:tc>
          <w:tcPr>
            <w:tcW w:w="146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p>
        </w:tc>
        <w:tc>
          <w:tcPr>
            <w:tcW w:w="179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2073"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255"/>
        </w:trPr>
        <w:tc>
          <w:tcPr>
            <w:tcW w:w="3982" w:type="dxa"/>
            <w:gridSpan w:val="3"/>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Isu dalam PGA REDD+</w:t>
            </w:r>
          </w:p>
        </w:tc>
        <w:tc>
          <w:tcPr>
            <w:tcW w:w="5521" w:type="dxa"/>
            <w:gridSpan w:val="4"/>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Indikator</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6903" w:type="dxa"/>
            <w:gridSpan w:val="5"/>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xml:space="preserve">: a. Jumlah pelanggaran penggunaan anggaran di tingkat provinsi dan kab/kota </w:t>
            </w: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single" w:sz="4" w:space="0" w:color="auto"/>
              <w:right w:val="nil"/>
            </w:tcBorders>
            <w:shd w:val="clear" w:color="auto" w:fill="auto"/>
            <w:hideMark/>
          </w:tcPr>
          <w:p w:rsidR="003826EB" w:rsidRPr="003826EB" w:rsidRDefault="003826EB" w:rsidP="003826EB">
            <w:pPr>
              <w:spacing w:after="24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Laporan Inspektorat, BPKP &amp; BPK, Bawasda</w:t>
            </w:r>
          </w:p>
        </w:tc>
      </w:tr>
      <w:tr w:rsidR="003826EB" w:rsidRPr="003826EB" w:rsidTr="003826E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Dokumen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Dokumen</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Wawancara</w:t>
            </w:r>
          </w:p>
        </w:tc>
      </w:tr>
      <w:tr w:rsidR="003826EB" w:rsidRPr="003826EB" w:rsidTr="003826EB">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FVa1</w:t>
            </w:r>
          </w:p>
        </w:tc>
        <w:tc>
          <w:tcPr>
            <w:tcW w:w="146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 xml:space="preserve">Jumlah pelanggaran pengguna-an anggaran di tingkat provinsi dan kab/kota  </w:t>
            </w:r>
          </w:p>
        </w:tc>
        <w:tc>
          <w:tcPr>
            <w:tcW w:w="179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BPK, BPKP, BAWASDA, INSPEKTORAT</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diperoleh dokumen aturan di daerah</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r>
      <w:tr w:rsidR="003826EB" w:rsidRPr="003826EB" w:rsidTr="003826EB">
        <w:trPr>
          <w:trHeight w:val="255"/>
        </w:trPr>
        <w:tc>
          <w:tcPr>
            <w:tcW w:w="71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p>
        </w:tc>
        <w:tc>
          <w:tcPr>
            <w:tcW w:w="146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p>
        </w:tc>
        <w:tc>
          <w:tcPr>
            <w:tcW w:w="179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2073"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Indikator</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6903" w:type="dxa"/>
            <w:gridSpan w:val="5"/>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b. Jumlah sanksi administratif serius (pencabutan izin, dan denda, yang telah dijatuhkan)</w:t>
            </w: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lastRenderedPageBreak/>
              <w:t>Sumber data</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single" w:sz="4" w:space="0" w:color="auto"/>
              <w:right w:val="nil"/>
            </w:tcBorders>
            <w:shd w:val="clear" w:color="auto" w:fill="auto"/>
            <w:hideMark/>
          </w:tcPr>
          <w:p w:rsidR="003826EB" w:rsidRPr="003826EB" w:rsidRDefault="003826EB" w:rsidP="003826EB">
            <w:pPr>
              <w:spacing w:after="24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Kementrian &amp; Dinas Kehutanan</w:t>
            </w:r>
          </w:p>
        </w:tc>
      </w:tr>
      <w:tr w:rsidR="003826EB" w:rsidRPr="003826EB" w:rsidTr="003826E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Dokumen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Dokumen</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Wawancara</w:t>
            </w:r>
          </w:p>
        </w:tc>
      </w:tr>
      <w:tr w:rsidR="003826EB" w:rsidRPr="003826EB" w:rsidTr="003826EB">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FVb1</w:t>
            </w:r>
          </w:p>
        </w:tc>
        <w:tc>
          <w:tcPr>
            <w:tcW w:w="146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Jumlah sanksi administratif serius (pencabutan izin, dan denda, yang telah dijatuhkan)</w:t>
            </w:r>
          </w:p>
        </w:tc>
        <w:tc>
          <w:tcPr>
            <w:tcW w:w="179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Kehutanan</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tidak ada perdanya karena pemberi izi dari pusat (PP Nomor 6 tahun 2007)</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4</w:t>
            </w:r>
          </w:p>
        </w:tc>
        <w:tc>
          <w:tcPr>
            <w:tcW w:w="2073"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r>
      <w:tr w:rsidR="003826EB" w:rsidRPr="003826EB" w:rsidTr="003826EB">
        <w:trPr>
          <w:trHeight w:val="255"/>
        </w:trPr>
        <w:tc>
          <w:tcPr>
            <w:tcW w:w="71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p>
        </w:tc>
        <w:tc>
          <w:tcPr>
            <w:tcW w:w="146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p>
        </w:tc>
        <w:tc>
          <w:tcPr>
            <w:tcW w:w="179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2073"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Indikator</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6903" w:type="dxa"/>
            <w:gridSpan w:val="5"/>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xml:space="preserve">: c. Jumlah kasus pidana kehutanan yang diajukan/diproses oleh polisi </w:t>
            </w: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single" w:sz="4" w:space="0" w:color="auto"/>
              <w:right w:val="nil"/>
            </w:tcBorders>
            <w:shd w:val="clear" w:color="auto" w:fill="auto"/>
            <w:hideMark/>
          </w:tcPr>
          <w:p w:rsidR="003826EB" w:rsidRPr="003826EB" w:rsidRDefault="003826EB" w:rsidP="003826EB">
            <w:pPr>
              <w:spacing w:after="24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Kepolisian (Nasional &amp; Daerah)</w:t>
            </w:r>
          </w:p>
        </w:tc>
      </w:tr>
      <w:tr w:rsidR="003826EB" w:rsidRPr="003826EB" w:rsidTr="003826E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Dokumen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Dokumen</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Wawancara</w:t>
            </w:r>
          </w:p>
        </w:tc>
      </w:tr>
      <w:tr w:rsidR="003826EB" w:rsidRPr="003826EB" w:rsidTr="003826EB">
        <w:trPr>
          <w:trHeight w:val="1245"/>
        </w:trPr>
        <w:tc>
          <w:tcPr>
            <w:tcW w:w="714" w:type="dxa"/>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FVc1</w:t>
            </w:r>
          </w:p>
        </w:tc>
        <w:tc>
          <w:tcPr>
            <w:tcW w:w="146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 xml:space="preserve">Jumlah kasus pidana kehutanan yang diajukan/diproses oleh polisi </w:t>
            </w:r>
          </w:p>
        </w:tc>
        <w:tc>
          <w:tcPr>
            <w:tcW w:w="179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Polres</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tidak dapat diperoleh dokumennya dan selalu menghindar ketika diminta. </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r>
      <w:tr w:rsidR="003826EB" w:rsidRPr="003826EB" w:rsidTr="003826EB">
        <w:trPr>
          <w:trHeight w:val="255"/>
        </w:trPr>
        <w:tc>
          <w:tcPr>
            <w:tcW w:w="71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p>
        </w:tc>
        <w:tc>
          <w:tcPr>
            <w:tcW w:w="146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p>
        </w:tc>
        <w:tc>
          <w:tcPr>
            <w:tcW w:w="179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2073"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585"/>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Indikator</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6903" w:type="dxa"/>
            <w:gridSpan w:val="5"/>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xml:space="preserve">: d. Jumlah kasus terkait kehutanan (korupsi, AML, Pidanan LH, atau Pajak yang terkait kehutanan) yang </w:t>
            </w:r>
            <w:r w:rsidRPr="003826EB">
              <w:rPr>
                <w:rFonts w:ascii="Times New Roman" w:eastAsia="Times New Roman" w:hAnsi="Times New Roman" w:cs="Times New Roman"/>
                <w:b/>
                <w:bCs/>
                <w:color w:val="000000"/>
                <w:sz w:val="20"/>
                <w:szCs w:val="20"/>
                <w:lang w:eastAsia="id-ID"/>
              </w:rPr>
              <w:br/>
              <w:t xml:space="preserve">  diputuskan oleh MA</w:t>
            </w:r>
            <w:r w:rsidRPr="003826EB">
              <w:rPr>
                <w:rFonts w:ascii="Times New Roman" w:eastAsia="Times New Roman" w:hAnsi="Times New Roman" w:cs="Times New Roman"/>
                <w:b/>
                <w:bCs/>
                <w:color w:val="000000"/>
                <w:sz w:val="20"/>
                <w:szCs w:val="20"/>
                <w:lang w:eastAsia="id-ID"/>
              </w:rPr>
              <w:br/>
              <w:t xml:space="preserve"> </w:t>
            </w: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single" w:sz="4" w:space="0" w:color="auto"/>
              <w:right w:val="nil"/>
            </w:tcBorders>
            <w:shd w:val="clear" w:color="auto" w:fill="auto"/>
            <w:hideMark/>
          </w:tcPr>
          <w:p w:rsidR="003826EB" w:rsidRPr="003826EB" w:rsidRDefault="003826EB" w:rsidP="003826EB">
            <w:pPr>
              <w:spacing w:after="24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Kepolisian (Nasional &amp; Daerah)</w:t>
            </w:r>
          </w:p>
        </w:tc>
      </w:tr>
      <w:tr w:rsidR="003826EB" w:rsidRPr="003826EB" w:rsidTr="003826E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Dokumen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Dokumen</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Wawancara</w:t>
            </w:r>
          </w:p>
        </w:tc>
      </w:tr>
      <w:tr w:rsidR="003826EB" w:rsidRPr="003826EB" w:rsidTr="003826EB">
        <w:trPr>
          <w:trHeight w:val="1500"/>
        </w:trPr>
        <w:tc>
          <w:tcPr>
            <w:tcW w:w="714" w:type="dxa"/>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FVd1</w:t>
            </w:r>
          </w:p>
        </w:tc>
        <w:tc>
          <w:tcPr>
            <w:tcW w:w="146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Jumlah kasus terkait kehutanan (korupsi, AML, Pidanan LH, atau Pajak yang terkait kehutanan) yang diputuskan oleh MA</w:t>
            </w:r>
          </w:p>
        </w:tc>
        <w:tc>
          <w:tcPr>
            <w:tcW w:w="179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Polres</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tidak dapat diperoleh dokumennya dan selalu menghindar ketika diminta. </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r>
      <w:tr w:rsidR="003826EB" w:rsidRPr="003826EB" w:rsidTr="003826EB">
        <w:trPr>
          <w:trHeight w:val="255"/>
        </w:trPr>
        <w:tc>
          <w:tcPr>
            <w:tcW w:w="71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p>
        </w:tc>
        <w:tc>
          <w:tcPr>
            <w:tcW w:w="146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p>
        </w:tc>
        <w:tc>
          <w:tcPr>
            <w:tcW w:w="179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2073"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Indikator</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6903" w:type="dxa"/>
            <w:gridSpan w:val="5"/>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e. Index integritas KPK sektor kehutanan</w:t>
            </w:r>
            <w:r w:rsidRPr="003826EB">
              <w:rPr>
                <w:rFonts w:ascii="Times New Roman" w:eastAsia="Times New Roman" w:hAnsi="Times New Roman" w:cs="Times New Roman"/>
                <w:b/>
                <w:bCs/>
                <w:color w:val="000000"/>
                <w:sz w:val="20"/>
                <w:szCs w:val="20"/>
                <w:lang w:eastAsia="id-ID"/>
              </w:rPr>
              <w:br/>
              <w:t xml:space="preserve"> </w:t>
            </w: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single" w:sz="4" w:space="0" w:color="auto"/>
              <w:right w:val="nil"/>
            </w:tcBorders>
            <w:shd w:val="clear" w:color="auto" w:fill="auto"/>
            <w:hideMark/>
          </w:tcPr>
          <w:p w:rsidR="003826EB" w:rsidRPr="003826EB" w:rsidRDefault="003826EB" w:rsidP="003826EB">
            <w:pPr>
              <w:spacing w:after="24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Hasil Survai KPK tentang Integritas</w:t>
            </w:r>
          </w:p>
        </w:tc>
      </w:tr>
      <w:tr w:rsidR="003826EB" w:rsidRPr="003826EB" w:rsidTr="003826E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Dokumen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Dokumen</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Wawancara</w:t>
            </w:r>
          </w:p>
        </w:tc>
      </w:tr>
      <w:tr w:rsidR="003826EB" w:rsidRPr="003826EB" w:rsidTr="003826EB">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FVe1</w:t>
            </w:r>
          </w:p>
        </w:tc>
        <w:tc>
          <w:tcPr>
            <w:tcW w:w="146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Index integritas KPK sektor kehutanan</w:t>
            </w:r>
          </w:p>
        </w:tc>
        <w:tc>
          <w:tcPr>
            <w:tcW w:w="179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000000" w:fill="F2DDDC"/>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KPK &amp; TII</w:t>
            </w:r>
          </w:p>
        </w:tc>
        <w:tc>
          <w:tcPr>
            <w:tcW w:w="1186" w:type="dxa"/>
            <w:tcBorders>
              <w:top w:val="nil"/>
              <w:left w:val="nil"/>
              <w:bottom w:val="single" w:sz="4" w:space="0" w:color="auto"/>
              <w:right w:val="single" w:sz="4" w:space="0" w:color="auto"/>
            </w:tcBorders>
            <w:shd w:val="clear" w:color="000000" w:fill="F2DDDC"/>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ada</w:t>
            </w:r>
          </w:p>
        </w:tc>
        <w:tc>
          <w:tcPr>
            <w:tcW w:w="1188" w:type="dxa"/>
            <w:tcBorders>
              <w:top w:val="nil"/>
              <w:left w:val="nil"/>
              <w:bottom w:val="single" w:sz="4" w:space="0" w:color="auto"/>
              <w:right w:val="single" w:sz="4" w:space="0" w:color="auto"/>
            </w:tcBorders>
            <w:shd w:val="clear" w:color="000000" w:fill="F2DDDC"/>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2073"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r>
      <w:tr w:rsidR="003826EB" w:rsidRPr="003826EB" w:rsidTr="003826EB">
        <w:trPr>
          <w:trHeight w:val="255"/>
        </w:trPr>
        <w:tc>
          <w:tcPr>
            <w:tcW w:w="71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p>
        </w:tc>
        <w:tc>
          <w:tcPr>
            <w:tcW w:w="146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p>
        </w:tc>
        <w:tc>
          <w:tcPr>
            <w:tcW w:w="179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2073"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Indikator</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6903" w:type="dxa"/>
            <w:gridSpan w:val="5"/>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f. Index persepsi korupsi di lokasi assesmen (TII)</w:t>
            </w:r>
            <w:r w:rsidRPr="003826EB">
              <w:rPr>
                <w:rFonts w:ascii="Times New Roman" w:eastAsia="Times New Roman" w:hAnsi="Times New Roman" w:cs="Times New Roman"/>
                <w:b/>
                <w:bCs/>
                <w:color w:val="000000"/>
                <w:sz w:val="20"/>
                <w:szCs w:val="20"/>
                <w:lang w:eastAsia="id-ID"/>
              </w:rPr>
              <w:br/>
            </w:r>
            <w:r w:rsidRPr="003826EB">
              <w:rPr>
                <w:rFonts w:ascii="Times New Roman" w:eastAsia="Times New Roman" w:hAnsi="Times New Roman" w:cs="Times New Roman"/>
                <w:b/>
                <w:bCs/>
                <w:color w:val="000000"/>
                <w:sz w:val="20"/>
                <w:szCs w:val="20"/>
                <w:lang w:eastAsia="id-ID"/>
              </w:rPr>
              <w:br/>
            </w:r>
            <w:r w:rsidRPr="003826EB">
              <w:rPr>
                <w:rFonts w:ascii="Times New Roman" w:eastAsia="Times New Roman" w:hAnsi="Times New Roman" w:cs="Times New Roman"/>
                <w:b/>
                <w:bCs/>
                <w:color w:val="000000"/>
                <w:sz w:val="20"/>
                <w:szCs w:val="20"/>
                <w:lang w:eastAsia="id-ID"/>
              </w:rPr>
              <w:br/>
              <w:t xml:space="preserve"> </w:t>
            </w: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single" w:sz="4" w:space="0" w:color="auto"/>
              <w:right w:val="nil"/>
            </w:tcBorders>
            <w:shd w:val="clear" w:color="auto" w:fill="auto"/>
            <w:hideMark/>
          </w:tcPr>
          <w:p w:rsidR="003826EB" w:rsidRPr="003826EB" w:rsidRDefault="003826EB" w:rsidP="003826EB">
            <w:pPr>
              <w:spacing w:after="24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Hasil Survai Persepsi Transparansi Internasional Indonesia (TII)</w:t>
            </w:r>
          </w:p>
        </w:tc>
      </w:tr>
      <w:tr w:rsidR="003826EB" w:rsidRPr="003826EB" w:rsidTr="003826E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Dokumen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Dokumen</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Wawancara</w:t>
            </w:r>
          </w:p>
        </w:tc>
      </w:tr>
      <w:tr w:rsidR="003826EB" w:rsidRPr="003826EB" w:rsidTr="003826EB">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FVf1</w:t>
            </w:r>
          </w:p>
        </w:tc>
        <w:tc>
          <w:tcPr>
            <w:tcW w:w="146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 xml:space="preserve">Index persepsi korupsi di lokasi assesmen (TII) </w:t>
            </w:r>
          </w:p>
        </w:tc>
        <w:tc>
          <w:tcPr>
            <w:tcW w:w="179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000000" w:fill="F2DDDC"/>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KPK &amp; TII</w:t>
            </w:r>
          </w:p>
        </w:tc>
        <w:tc>
          <w:tcPr>
            <w:tcW w:w="1186" w:type="dxa"/>
            <w:tcBorders>
              <w:top w:val="nil"/>
              <w:left w:val="nil"/>
              <w:bottom w:val="single" w:sz="4" w:space="0" w:color="auto"/>
              <w:right w:val="single" w:sz="4" w:space="0" w:color="auto"/>
            </w:tcBorders>
            <w:shd w:val="clear" w:color="000000" w:fill="F2DDDC"/>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ada</w:t>
            </w:r>
          </w:p>
        </w:tc>
        <w:tc>
          <w:tcPr>
            <w:tcW w:w="1188" w:type="dxa"/>
            <w:tcBorders>
              <w:top w:val="nil"/>
              <w:left w:val="nil"/>
              <w:bottom w:val="single" w:sz="4" w:space="0" w:color="auto"/>
              <w:right w:val="single" w:sz="4" w:space="0" w:color="auto"/>
            </w:tcBorders>
            <w:shd w:val="clear" w:color="000000" w:fill="F2DDDC"/>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2073"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r>
      <w:tr w:rsidR="003826EB" w:rsidRPr="003826EB" w:rsidTr="003826EB">
        <w:trPr>
          <w:trHeight w:val="255"/>
        </w:trPr>
        <w:tc>
          <w:tcPr>
            <w:tcW w:w="71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p>
        </w:tc>
        <w:tc>
          <w:tcPr>
            <w:tcW w:w="146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p>
        </w:tc>
        <w:tc>
          <w:tcPr>
            <w:tcW w:w="179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2073"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615"/>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Indikator</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6903" w:type="dxa"/>
            <w:gridSpan w:val="5"/>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xml:space="preserve">: g. Nilai kerugian negara pada Satuan Kerja Pengelola Hutan/Unit Pengelola Hutan, yang didasarkan atas </w:t>
            </w:r>
            <w:r w:rsidRPr="003826EB">
              <w:rPr>
                <w:rFonts w:ascii="Times New Roman" w:eastAsia="Times New Roman" w:hAnsi="Times New Roman" w:cs="Times New Roman"/>
                <w:b/>
                <w:bCs/>
                <w:color w:val="000000"/>
                <w:sz w:val="20"/>
                <w:szCs w:val="20"/>
                <w:lang w:eastAsia="id-ID"/>
              </w:rPr>
              <w:br/>
              <w:t xml:space="preserve">       hasil pemeriksaan Laporan Keuangan Satuan Kerja tersebut oleh BPK RI</w:t>
            </w:r>
            <w:r w:rsidRPr="003826EB">
              <w:rPr>
                <w:rFonts w:ascii="Times New Roman" w:eastAsia="Times New Roman" w:hAnsi="Times New Roman" w:cs="Times New Roman"/>
                <w:b/>
                <w:bCs/>
                <w:color w:val="000000"/>
                <w:sz w:val="20"/>
                <w:szCs w:val="20"/>
                <w:lang w:eastAsia="id-ID"/>
              </w:rPr>
              <w:br/>
            </w:r>
            <w:r w:rsidRPr="003826EB">
              <w:rPr>
                <w:rFonts w:ascii="Times New Roman" w:eastAsia="Times New Roman" w:hAnsi="Times New Roman" w:cs="Times New Roman"/>
                <w:b/>
                <w:bCs/>
                <w:color w:val="000000"/>
                <w:sz w:val="20"/>
                <w:szCs w:val="20"/>
                <w:lang w:eastAsia="id-ID"/>
              </w:rPr>
              <w:br/>
            </w:r>
            <w:r w:rsidRPr="003826EB">
              <w:rPr>
                <w:rFonts w:ascii="Times New Roman" w:eastAsia="Times New Roman" w:hAnsi="Times New Roman" w:cs="Times New Roman"/>
                <w:b/>
                <w:bCs/>
                <w:color w:val="000000"/>
                <w:sz w:val="20"/>
                <w:szCs w:val="20"/>
                <w:lang w:eastAsia="id-ID"/>
              </w:rPr>
              <w:br/>
            </w:r>
            <w:r w:rsidRPr="003826EB">
              <w:rPr>
                <w:rFonts w:ascii="Times New Roman" w:eastAsia="Times New Roman" w:hAnsi="Times New Roman" w:cs="Times New Roman"/>
                <w:b/>
                <w:bCs/>
                <w:color w:val="000000"/>
                <w:sz w:val="20"/>
                <w:szCs w:val="20"/>
                <w:lang w:eastAsia="id-ID"/>
              </w:rPr>
              <w:br/>
              <w:t xml:space="preserve"> </w:t>
            </w: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single" w:sz="4" w:space="0" w:color="auto"/>
              <w:right w:val="nil"/>
            </w:tcBorders>
            <w:shd w:val="clear" w:color="auto" w:fill="auto"/>
            <w:hideMark/>
          </w:tcPr>
          <w:p w:rsidR="003826EB" w:rsidRPr="003826EB" w:rsidRDefault="003826EB" w:rsidP="003826EB">
            <w:pPr>
              <w:spacing w:after="24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Laporan BPK</w:t>
            </w:r>
          </w:p>
        </w:tc>
      </w:tr>
      <w:tr w:rsidR="003826EB" w:rsidRPr="003826EB" w:rsidTr="003826E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Dokumen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Dokumen</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Wawancara</w:t>
            </w:r>
          </w:p>
        </w:tc>
      </w:tr>
      <w:tr w:rsidR="003826EB" w:rsidRPr="003826EB" w:rsidTr="003826EB">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FVg1</w:t>
            </w:r>
          </w:p>
        </w:tc>
        <w:tc>
          <w:tcPr>
            <w:tcW w:w="146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 xml:space="preserve">Nilai kerugian negara pada Sa-tuan Kerja Pengelola Hutan/ Unit Pengelola Hutan, yang didasarkan atas hasil pemerik-saan Laporan Keuangan Satuan Kerja tersebut oleh BPK RI.  </w:t>
            </w:r>
          </w:p>
        </w:tc>
        <w:tc>
          <w:tcPr>
            <w:tcW w:w="179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BPK, BPKP, BAWASDA, INSPEKTORAT</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tidak diperoleh dokumennya, menurutnya semua dokumen ada di Pusat</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c>
          <w:tcPr>
            <w:tcW w:w="2073"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r>
      <w:tr w:rsidR="003826EB" w:rsidRPr="003826EB" w:rsidTr="003826EB">
        <w:trPr>
          <w:trHeight w:val="255"/>
        </w:trPr>
        <w:tc>
          <w:tcPr>
            <w:tcW w:w="71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p>
        </w:tc>
        <w:tc>
          <w:tcPr>
            <w:tcW w:w="146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p>
        </w:tc>
        <w:tc>
          <w:tcPr>
            <w:tcW w:w="179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2073"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Indikator</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6903" w:type="dxa"/>
            <w:gridSpan w:val="5"/>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h. Jumlah pengaduan masyarakat tentang kinerja pengelolaan hutan</w:t>
            </w:r>
            <w:r w:rsidRPr="003826EB">
              <w:rPr>
                <w:rFonts w:ascii="Times New Roman" w:eastAsia="Times New Roman" w:hAnsi="Times New Roman" w:cs="Times New Roman"/>
                <w:b/>
                <w:bCs/>
                <w:color w:val="000000"/>
                <w:sz w:val="20"/>
                <w:szCs w:val="20"/>
                <w:lang w:eastAsia="id-ID"/>
              </w:rPr>
              <w:br/>
            </w:r>
            <w:r w:rsidRPr="003826EB">
              <w:rPr>
                <w:rFonts w:ascii="Times New Roman" w:eastAsia="Times New Roman" w:hAnsi="Times New Roman" w:cs="Times New Roman"/>
                <w:b/>
                <w:bCs/>
                <w:color w:val="000000"/>
                <w:sz w:val="20"/>
                <w:szCs w:val="20"/>
                <w:lang w:eastAsia="id-ID"/>
              </w:rPr>
              <w:br/>
            </w:r>
            <w:r w:rsidRPr="003826EB">
              <w:rPr>
                <w:rFonts w:ascii="Times New Roman" w:eastAsia="Times New Roman" w:hAnsi="Times New Roman" w:cs="Times New Roman"/>
                <w:b/>
                <w:bCs/>
                <w:color w:val="000000"/>
                <w:sz w:val="20"/>
                <w:szCs w:val="20"/>
                <w:lang w:eastAsia="id-ID"/>
              </w:rPr>
              <w:br/>
            </w:r>
            <w:r w:rsidRPr="003826EB">
              <w:rPr>
                <w:rFonts w:ascii="Times New Roman" w:eastAsia="Times New Roman" w:hAnsi="Times New Roman" w:cs="Times New Roman"/>
                <w:b/>
                <w:bCs/>
                <w:color w:val="000000"/>
                <w:sz w:val="20"/>
                <w:szCs w:val="20"/>
                <w:lang w:eastAsia="id-ID"/>
              </w:rPr>
              <w:br/>
              <w:t xml:space="preserve"> </w:t>
            </w: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single" w:sz="4" w:space="0" w:color="auto"/>
              <w:right w:val="nil"/>
            </w:tcBorders>
            <w:shd w:val="clear" w:color="auto" w:fill="auto"/>
            <w:hideMark/>
          </w:tcPr>
          <w:p w:rsidR="003826EB" w:rsidRPr="003826EB" w:rsidRDefault="003826EB" w:rsidP="003826EB">
            <w:pPr>
              <w:spacing w:after="24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Kementerian &amp; Dinas Kehutanan</w:t>
            </w:r>
          </w:p>
        </w:tc>
      </w:tr>
      <w:tr w:rsidR="003826EB" w:rsidRPr="003826EB" w:rsidTr="003826E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Dokumen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Dokumen</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Wawancara</w:t>
            </w:r>
          </w:p>
        </w:tc>
      </w:tr>
      <w:tr w:rsidR="003826EB" w:rsidRPr="003826EB" w:rsidTr="003826EB">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FVh1</w:t>
            </w:r>
          </w:p>
        </w:tc>
        <w:tc>
          <w:tcPr>
            <w:tcW w:w="146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r w:rsidRPr="003826EB">
              <w:rPr>
                <w:rFonts w:ascii="Times New Roman" w:eastAsia="Times New Roman" w:hAnsi="Times New Roman" w:cs="Times New Roman"/>
                <w:sz w:val="20"/>
                <w:szCs w:val="20"/>
                <w:lang w:eastAsia="id-ID"/>
              </w:rPr>
              <w:t xml:space="preserve">Jumlah pengaduan masyarakat tentang kinerja pengelolaan hutan </w:t>
            </w:r>
          </w:p>
        </w:tc>
        <w:tc>
          <w:tcPr>
            <w:tcW w:w="179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Kehutanan</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tidak diperoleh dokumen pengaduan masyarakat karena tidak diatur dalam </w:t>
            </w:r>
            <w:r w:rsidRPr="003826EB">
              <w:rPr>
                <w:rFonts w:ascii="Times New Roman" w:eastAsia="Times New Roman" w:hAnsi="Times New Roman" w:cs="Times New Roman"/>
                <w:color w:val="000000"/>
                <w:sz w:val="20"/>
                <w:szCs w:val="20"/>
                <w:lang w:eastAsia="id-ID"/>
              </w:rPr>
              <w:lastRenderedPageBreak/>
              <w:t>aturan daerah</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lastRenderedPageBreak/>
              <w:t>1</w:t>
            </w:r>
          </w:p>
        </w:tc>
        <w:tc>
          <w:tcPr>
            <w:tcW w:w="2073"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r>
      <w:tr w:rsidR="003826EB" w:rsidRPr="003826EB" w:rsidTr="003826EB">
        <w:trPr>
          <w:trHeight w:val="255"/>
        </w:trPr>
        <w:tc>
          <w:tcPr>
            <w:tcW w:w="71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sz w:val="20"/>
                <w:szCs w:val="20"/>
                <w:lang w:eastAsia="id-ID"/>
              </w:rPr>
            </w:pPr>
          </w:p>
        </w:tc>
        <w:tc>
          <w:tcPr>
            <w:tcW w:w="146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sz w:val="20"/>
                <w:szCs w:val="20"/>
                <w:lang w:eastAsia="id-ID"/>
              </w:rPr>
            </w:pPr>
          </w:p>
        </w:tc>
        <w:tc>
          <w:tcPr>
            <w:tcW w:w="179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2073"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255"/>
        </w:trPr>
        <w:tc>
          <w:tcPr>
            <w:tcW w:w="3982" w:type="dxa"/>
            <w:gridSpan w:val="3"/>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Isu dalam PGA REDD+</w:t>
            </w:r>
          </w:p>
        </w:tc>
        <w:tc>
          <w:tcPr>
            <w:tcW w:w="5521" w:type="dxa"/>
            <w:gridSpan w:val="4"/>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Indikator</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6903" w:type="dxa"/>
            <w:gridSpan w:val="5"/>
            <w:tcBorders>
              <w:top w:val="nil"/>
              <w:left w:val="nil"/>
              <w:bottom w:val="nil"/>
              <w:right w:val="nil"/>
            </w:tcBorders>
            <w:shd w:val="clear" w:color="auto" w:fill="auto"/>
            <w:hideMark/>
          </w:tcPr>
          <w:p w:rsidR="003826EB" w:rsidRPr="003826EB" w:rsidRDefault="003826EB" w:rsidP="003826EB">
            <w:pPr>
              <w:spacing w:after="24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a. Jumlah kelompok masyarakat adat/lokal dan bisnis yg dapat akses di dalam lokasi REDD+</w:t>
            </w: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informasi</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single" w:sz="4" w:space="0" w:color="auto"/>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Kementerian &amp; Dinas Kehutanan, Satgas REDD+, Organisasi Masyarakat  Adat/Lokal</w:t>
            </w:r>
          </w:p>
        </w:tc>
      </w:tr>
      <w:tr w:rsidR="003826EB" w:rsidRPr="003826EB" w:rsidTr="003826E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Dokumen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Dokumen</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Wawancara</w:t>
            </w:r>
          </w:p>
        </w:tc>
      </w:tr>
      <w:tr w:rsidR="003826EB" w:rsidRPr="003826EB" w:rsidTr="003826EB">
        <w:trPr>
          <w:trHeight w:val="14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FVIa1</w:t>
            </w:r>
          </w:p>
        </w:tc>
        <w:tc>
          <w:tcPr>
            <w:tcW w:w="1469" w:type="dxa"/>
            <w:vMerge w:val="restart"/>
            <w:tcBorders>
              <w:top w:val="nil"/>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Jumlah kelompok masyarakat adat/lokal dan bisnis yg dapat akses di dalam lokasi REDD+</w:t>
            </w:r>
          </w:p>
        </w:tc>
        <w:tc>
          <w:tcPr>
            <w:tcW w:w="1799" w:type="dxa"/>
            <w:vMerge w:val="restart"/>
            <w:tcBorders>
              <w:top w:val="nil"/>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Kehutanan</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SK Gub No. 522/330/2012 tentang DA REDD+ dan SK Gub No. 522/84/2011</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3</w:t>
            </w:r>
          </w:p>
        </w:tc>
        <w:tc>
          <w:tcPr>
            <w:tcW w:w="2073"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r>
      <w:tr w:rsidR="003826EB" w:rsidRPr="003826EB" w:rsidTr="003826EB">
        <w:trPr>
          <w:trHeight w:val="1350"/>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Satgas REDD+</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SK Gub No. 522/330/2012 tentang DA REDD+ dan SK Gub No. 522/84/2011</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3</w:t>
            </w:r>
          </w:p>
        </w:tc>
        <w:tc>
          <w:tcPr>
            <w:tcW w:w="2073"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r>
      <w:tr w:rsidR="003826EB" w:rsidRPr="003826EB" w:rsidTr="003826EB">
        <w:trPr>
          <w:trHeight w:val="255"/>
        </w:trPr>
        <w:tc>
          <w:tcPr>
            <w:tcW w:w="71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469"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799"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2073" w:type="dxa"/>
            <w:tcBorders>
              <w:top w:val="nil"/>
              <w:left w:val="nil"/>
              <w:bottom w:val="nil"/>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Indikator</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6903" w:type="dxa"/>
            <w:gridSpan w:val="5"/>
            <w:tcBorders>
              <w:top w:val="nil"/>
              <w:left w:val="nil"/>
              <w:bottom w:val="nil"/>
              <w:right w:val="nil"/>
            </w:tcBorders>
            <w:shd w:val="clear" w:color="auto" w:fill="auto"/>
            <w:hideMark/>
          </w:tcPr>
          <w:p w:rsidR="003826EB" w:rsidRPr="003826EB" w:rsidRDefault="003826EB" w:rsidP="003826EB">
            <w:pPr>
              <w:spacing w:after="24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b. Tingkat penerimaan Strategi REDD+ oleh para aktor</w:t>
            </w:r>
            <w:r w:rsidRPr="003826EB">
              <w:rPr>
                <w:rFonts w:ascii="Times New Roman" w:eastAsia="Times New Roman" w:hAnsi="Times New Roman" w:cs="Times New Roman"/>
                <w:b/>
                <w:bCs/>
                <w:color w:val="000000"/>
                <w:sz w:val="20"/>
                <w:szCs w:val="20"/>
                <w:lang w:eastAsia="id-ID"/>
              </w:rPr>
              <w:br/>
            </w:r>
          </w:p>
        </w:tc>
      </w:tr>
      <w:tr w:rsidR="003826EB" w:rsidRPr="003826EB" w:rsidTr="003826EB">
        <w:trPr>
          <w:trHeight w:val="78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informasi</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single" w:sz="4" w:space="0" w:color="auto"/>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Pemerintah (Kementrian &amp; Dinas Kehutanan, Kementrian &amp; Dinas Pertanian, BAPPENAS &amp; BAPPEDA), Organisasi Masyarakat Sipil, Organisasi Masyarakat Adat/Lokal</w:t>
            </w:r>
          </w:p>
        </w:tc>
      </w:tr>
      <w:tr w:rsidR="003826EB" w:rsidRPr="003826EB" w:rsidTr="003826E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Dokumen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Dokumen</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Wawancara</w:t>
            </w:r>
          </w:p>
        </w:tc>
      </w:tr>
      <w:tr w:rsidR="003826EB" w:rsidRPr="003826EB" w:rsidTr="003826EB">
        <w:trPr>
          <w:trHeight w:val="216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FVIb1</w:t>
            </w:r>
          </w:p>
        </w:tc>
        <w:tc>
          <w:tcPr>
            <w:tcW w:w="1469" w:type="dxa"/>
            <w:vMerge w:val="restart"/>
            <w:tcBorders>
              <w:top w:val="nil"/>
              <w:left w:val="single" w:sz="4" w:space="0" w:color="auto"/>
              <w:bottom w:val="single" w:sz="4" w:space="0" w:color="000000"/>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799" w:type="dxa"/>
            <w:vMerge w:val="restart"/>
            <w:tcBorders>
              <w:top w:val="nil"/>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Bagaimana penerimaan Strate-gi REDD+ oleh para aktor?</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Kehutanan</w:t>
            </w:r>
          </w:p>
        </w:tc>
        <w:tc>
          <w:tcPr>
            <w:tcW w:w="1186"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Telah diterima oleh semua aktor. Strategi pelaksanaan mengacu dari sistim yang dibangun oleh masyarakat adat yaitu rambu-rambu save guard (kerangka pengaman dalam bentuk FPIC). Karena skema REDD+/Padiatapa memiliki prinsip-prinsip mengakui atau melibatkan semua stakeholder</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4</w:t>
            </w:r>
          </w:p>
        </w:tc>
      </w:tr>
      <w:tr w:rsidR="003826EB" w:rsidRPr="003826EB" w:rsidTr="003826EB">
        <w:trPr>
          <w:trHeight w:val="2535"/>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Bappeda</w:t>
            </w:r>
          </w:p>
        </w:tc>
        <w:tc>
          <w:tcPr>
            <w:tcW w:w="1186"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Dengan telah terbentuknya Kelompok Kerja (Pokja) REDD+ di Provinsi Sulawesi Tengah, melalui SK Gubernur Sulawesi Tengah, menandakan bahwa penerimaan semua pihak sudah baik. Hal ini dikarenakan bahwa Pokja REDD+ tersebut terdiri dari semua stakeholder yaitu </w:t>
            </w:r>
            <w:r w:rsidRPr="003826EB">
              <w:rPr>
                <w:rFonts w:ascii="Times New Roman" w:eastAsia="Times New Roman" w:hAnsi="Times New Roman" w:cs="Times New Roman"/>
                <w:color w:val="000000"/>
                <w:sz w:val="20"/>
                <w:szCs w:val="20"/>
                <w:lang w:eastAsia="id-ID"/>
              </w:rPr>
              <w:lastRenderedPageBreak/>
              <w:t>pemerintah, swata, perguruan tinggi, LSM dan masyarakat Adat/lokal</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lastRenderedPageBreak/>
              <w:t>4</w:t>
            </w:r>
          </w:p>
        </w:tc>
      </w:tr>
      <w:tr w:rsidR="003826EB" w:rsidRPr="003826EB" w:rsidTr="003826EB">
        <w:trPr>
          <w:trHeight w:val="1770"/>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LSM</w:t>
            </w:r>
          </w:p>
        </w:tc>
        <w:tc>
          <w:tcPr>
            <w:tcW w:w="1186"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Dengan adanya program REDD+ ini LSM terpecah menjadi 3 kelompok yaitu: kelopok pertama Menolak adanya Program REDD+, kelopok kedua Menerima tapi perlu mengkritisi dan, kelompok ketiga menerima apa adanya.</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r>
      <w:tr w:rsidR="003826EB" w:rsidRPr="003826EB" w:rsidTr="003826EB">
        <w:trPr>
          <w:trHeight w:val="1530"/>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Organisasi Masyarakat Adat Lokal</w:t>
            </w:r>
          </w:p>
        </w:tc>
        <w:tc>
          <w:tcPr>
            <w:tcW w:w="1186"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Sebagian menerima dan sebagian tidak menerima, seperti LSM sebagian menerima sebagian tidak menerima, begitupun dengan akademisi sebagian menerima dan sebagian juga tidk menerima. </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3</w:t>
            </w:r>
          </w:p>
        </w:tc>
      </w:tr>
      <w:tr w:rsidR="003826EB" w:rsidRPr="003826EB" w:rsidTr="003826EB">
        <w:trPr>
          <w:trHeight w:val="25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FVIb2</w:t>
            </w:r>
          </w:p>
        </w:tc>
        <w:tc>
          <w:tcPr>
            <w:tcW w:w="1469" w:type="dxa"/>
            <w:vMerge w:val="restart"/>
            <w:tcBorders>
              <w:top w:val="nil"/>
              <w:left w:val="single" w:sz="4" w:space="0" w:color="auto"/>
              <w:bottom w:val="single" w:sz="4" w:space="0" w:color="000000"/>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799" w:type="dxa"/>
            <w:vMerge w:val="restart"/>
            <w:tcBorders>
              <w:top w:val="nil"/>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Apakah Kelembagaan REDD+ sudah memadai?</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Kehutanan</w:t>
            </w:r>
          </w:p>
        </w:tc>
        <w:tc>
          <w:tcPr>
            <w:tcW w:w="1186"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Sudah ada, dan dibentuk melalui SKGubenur no..../20...Kelembagaan REDD+ telah melibatkan berbagai stakeholder diantanya: Pemerintah sendiri, LSM, Perwakilan masyarakat adat, perwakilan swasta dan akademisi. Saat ini kelembagaan yang dibentuk tersebut sudah mulai bekerja dalam persiapan pelaksanaan REDD+</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4</w:t>
            </w:r>
          </w:p>
        </w:tc>
      </w:tr>
      <w:tr w:rsidR="003826EB" w:rsidRPr="003826EB" w:rsidTr="003826EB">
        <w:trPr>
          <w:trHeight w:val="3630"/>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Bappeda</w:t>
            </w:r>
          </w:p>
        </w:tc>
        <w:tc>
          <w:tcPr>
            <w:tcW w:w="1186"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Sudah cukup memadai, selain telah terbentuk REDD+ juga telah terbentuk Pantau REDD+ dari kalangan endependen yang nantinya dapat melakukan pemantauan terhadap pelaksanaan REDD+ di sulawesi tengah.Dalam Pokja REDD+ tersebut  terdiri dari 4 Pokja diantaranya adalah : Pokja MRV, Pokja DA, Pokja STRADA dan Pokja , FPIC. Masing-masing Pokja sudah bergerak sesuai dengan Tupoksinya. Ada kantor sekretariat untuk pokja REDD+ kalau tida salah sekarang di kantor BPKH.</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3</w:t>
            </w:r>
          </w:p>
        </w:tc>
      </w:tr>
      <w:tr w:rsidR="003826EB" w:rsidRPr="003826EB" w:rsidTr="003826EB">
        <w:trPr>
          <w:trHeight w:val="3630"/>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LSM</w:t>
            </w:r>
          </w:p>
        </w:tc>
        <w:tc>
          <w:tcPr>
            <w:tcW w:w="1186"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Ada persoalan perilaku budaya dalam kelembagaan REDD+ yang tidak bisa ditinggalkan. Persoalan lain adalah komposisi keanggotaan para pihak yang tidak seimbang, dimana dalam kelembagaan REDD+ yang anggotanya 70 orang, LSM hanya 6 orang, dan Jurnnalis tidak masuk didalamnya. Dengan demikian pemerintah masih sangat dominan. Dengan posisi keanggotaan yang dominan tersebut maka dalam proses penyusunan kebijakan jelas akan didominasi oleh pemerintah</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r>
      <w:tr w:rsidR="003826EB" w:rsidRPr="003826EB" w:rsidTr="003826EB">
        <w:trPr>
          <w:trHeight w:val="3135"/>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Organisasi Masyarakat Adat Lokal</w:t>
            </w:r>
          </w:p>
        </w:tc>
        <w:tc>
          <w:tcPr>
            <w:tcW w:w="1186"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saya kir sudah memadai dengan SK Gubenur tersebut dan telah melibatkan multi pihak, meskipun menurut saya masih tidak seimbang antara pihak pemerintah dengan pihak diluar pemerintah.</w:t>
            </w:r>
            <w:r w:rsidRPr="003826EB">
              <w:rPr>
                <w:rFonts w:ascii="Times New Roman" w:eastAsia="Times New Roman" w:hAnsi="Times New Roman" w:cs="Times New Roman"/>
                <w:color w:val="000000"/>
                <w:sz w:val="20"/>
                <w:szCs w:val="20"/>
                <w:lang w:eastAsia="id-ID"/>
              </w:rPr>
              <w:br/>
              <w:t xml:space="preserve">- pihak pemerintah hampir semua SKPD ada erwakilannya sehingga jumlahnya cukup banyak, jika ditinjau dari segi kuantitas, akan tetapi hal ini juga akan berpengaruh saat pengambilan keputusan  </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3</w:t>
            </w:r>
          </w:p>
        </w:tc>
      </w:tr>
      <w:tr w:rsidR="003826EB" w:rsidRPr="003826EB" w:rsidTr="003826EB">
        <w:trPr>
          <w:trHeight w:val="276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FVIb3</w:t>
            </w:r>
          </w:p>
        </w:tc>
        <w:tc>
          <w:tcPr>
            <w:tcW w:w="1469" w:type="dxa"/>
            <w:vMerge w:val="restart"/>
            <w:tcBorders>
              <w:top w:val="nil"/>
              <w:left w:val="single" w:sz="4" w:space="0" w:color="auto"/>
              <w:bottom w:val="single" w:sz="4" w:space="0" w:color="000000"/>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799" w:type="dxa"/>
            <w:vMerge w:val="restart"/>
            <w:tcBorders>
              <w:top w:val="nil"/>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Apakah Kerangka Pengaman sudah memadai?</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Kehutanan</w:t>
            </w:r>
          </w:p>
        </w:tc>
        <w:tc>
          <w:tcPr>
            <w:tcW w:w="1186"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Beberapa Pokja telah menyusun panduan-panduan untuk pelaksanaan REDD+, seperti Panduan FPIC. Pokja FPIC juga sudah melakukan pelatihan kepada para fasilitator lapangan yang nantinya akan langsung melakukan pendampingan kepda masyarakat pada saat pelaksanan REDD+. Semua pihak telah menerima skema kerangka pengaman FPIC/PADIATAPA.</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4</w:t>
            </w:r>
          </w:p>
        </w:tc>
      </w:tr>
      <w:tr w:rsidR="003826EB" w:rsidRPr="003826EB" w:rsidTr="003826EB">
        <w:trPr>
          <w:trHeight w:val="510"/>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Bappeda</w:t>
            </w:r>
          </w:p>
        </w:tc>
        <w:tc>
          <w:tcPr>
            <w:tcW w:w="1186"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Cukup memadai, telah ada pnduan FPIC yang sudah disusun oleh Pokja FPIC</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3</w:t>
            </w:r>
          </w:p>
        </w:tc>
      </w:tr>
      <w:tr w:rsidR="003826EB" w:rsidRPr="003826EB" w:rsidTr="003826EB">
        <w:trPr>
          <w:trHeight w:val="1275"/>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LSM</w:t>
            </w:r>
          </w:p>
        </w:tc>
        <w:tc>
          <w:tcPr>
            <w:tcW w:w="1186"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Mandat FPIC adalah dengan menguji-cobakan di 4 desa. Kritik FPIC adalah mengadopsi secara total PADIATAPA yang disusun oleh kawan-kawan AMAN. Saya kira perlu ada kontektualisasi, jadi tidak adopsi total</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3</w:t>
            </w:r>
          </w:p>
        </w:tc>
      </w:tr>
      <w:tr w:rsidR="003826EB" w:rsidRPr="003826EB" w:rsidTr="003826EB">
        <w:trPr>
          <w:trHeight w:val="765"/>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Organisasi Masyarakat Adat Lokal</w:t>
            </w:r>
          </w:p>
        </w:tc>
        <w:tc>
          <w:tcPr>
            <w:tcW w:w="1186"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Pokja  FPIC barangkali menjadi salah satu kerangka pengaman  </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4</w:t>
            </w:r>
          </w:p>
        </w:tc>
      </w:tr>
      <w:tr w:rsidR="003826EB" w:rsidRPr="003826EB" w:rsidTr="003826EB">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FVIb4</w:t>
            </w:r>
          </w:p>
        </w:tc>
        <w:tc>
          <w:tcPr>
            <w:tcW w:w="1469" w:type="dxa"/>
            <w:vMerge w:val="restart"/>
            <w:tcBorders>
              <w:top w:val="nil"/>
              <w:left w:val="single" w:sz="4" w:space="0" w:color="auto"/>
              <w:bottom w:val="single" w:sz="4" w:space="0" w:color="000000"/>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799" w:type="dxa"/>
            <w:vMerge w:val="restart"/>
            <w:tcBorders>
              <w:top w:val="nil"/>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Apakah (mekanisme) MRV sudah memadai?</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Kehutanan</w:t>
            </w:r>
          </w:p>
        </w:tc>
        <w:tc>
          <w:tcPr>
            <w:tcW w:w="1186"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Semua pihak telah menerima skema MRV</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4</w:t>
            </w:r>
          </w:p>
        </w:tc>
      </w:tr>
      <w:tr w:rsidR="003826EB" w:rsidRPr="003826EB" w:rsidTr="003826EB">
        <w:trPr>
          <w:trHeight w:val="765"/>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Bappeda</w:t>
            </w:r>
          </w:p>
        </w:tc>
        <w:tc>
          <w:tcPr>
            <w:tcW w:w="1186"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Pokjanya sudah terbentuk, kemungkinan sudah melakukan pekerjaan-pekerjaan sesuai dengan fungsinya</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r>
      <w:tr w:rsidR="003826EB" w:rsidRPr="003826EB" w:rsidTr="003826EB">
        <w:trPr>
          <w:trHeight w:val="1935"/>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LSM</w:t>
            </w:r>
          </w:p>
        </w:tc>
        <w:tc>
          <w:tcPr>
            <w:tcW w:w="1186"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Masih belum final, dan masih banyak opsi yang perlu didiskusikan dengan matang bagaimana cara menentukan penerima REDD+. Tentang metodologi, pelaporan dll. Juga masih belum final, saat sekarang lagi menyiapkan beberapa tools---rumusan REDD+ sedang dikoreksi</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r>
      <w:tr w:rsidR="003826EB" w:rsidRPr="003826EB" w:rsidTr="003826EB">
        <w:trPr>
          <w:trHeight w:val="765"/>
        </w:trPr>
        <w:tc>
          <w:tcPr>
            <w:tcW w:w="714"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469" w:type="dxa"/>
            <w:vMerge/>
            <w:tcBorders>
              <w:top w:val="nil"/>
              <w:left w:val="single" w:sz="4" w:space="0" w:color="auto"/>
              <w:bottom w:val="single" w:sz="4" w:space="0" w:color="000000"/>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799" w:type="dxa"/>
            <w:vMerge/>
            <w:tcBorders>
              <w:top w:val="nil"/>
              <w:left w:val="single" w:sz="4" w:space="0" w:color="auto"/>
              <w:bottom w:val="single" w:sz="4" w:space="0" w:color="auto"/>
              <w:right w:val="single" w:sz="4" w:space="0" w:color="auto"/>
            </w:tcBorders>
            <w:vAlign w:val="center"/>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Organisasi Masyarakat Adat Lokal</w:t>
            </w:r>
          </w:p>
        </w:tc>
        <w:tc>
          <w:tcPr>
            <w:tcW w:w="1186"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 saya masih kurang informasi tentang hal ini</w:t>
            </w:r>
          </w:p>
        </w:tc>
        <w:tc>
          <w:tcPr>
            <w:tcW w:w="1382" w:type="dxa"/>
            <w:tcBorders>
              <w:top w:val="nil"/>
              <w:left w:val="nil"/>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1</w:t>
            </w:r>
          </w:p>
        </w:tc>
      </w:tr>
      <w:tr w:rsidR="003826EB" w:rsidRPr="003826EB" w:rsidTr="003826EB">
        <w:trPr>
          <w:trHeight w:val="255"/>
        </w:trPr>
        <w:tc>
          <w:tcPr>
            <w:tcW w:w="71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469"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2073"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Indikator</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6903" w:type="dxa"/>
            <w:gridSpan w:val="5"/>
            <w:tcBorders>
              <w:top w:val="nil"/>
              <w:left w:val="nil"/>
              <w:bottom w:val="nil"/>
              <w:right w:val="nil"/>
            </w:tcBorders>
            <w:shd w:val="clear" w:color="auto" w:fill="auto"/>
            <w:hideMark/>
          </w:tcPr>
          <w:p w:rsidR="003826EB" w:rsidRPr="003826EB" w:rsidRDefault="003826EB" w:rsidP="003826EB">
            <w:pPr>
              <w:spacing w:after="24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c. Tingkat deforestasi di lokasi assesmen</w:t>
            </w:r>
          </w:p>
        </w:tc>
      </w:tr>
      <w:tr w:rsidR="003826EB" w:rsidRPr="003826EB" w:rsidTr="003826EB">
        <w:trPr>
          <w:trHeight w:val="3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informasi</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single" w:sz="4" w:space="0" w:color="auto"/>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Kementerian &amp; Dinas Kehutanan</w:t>
            </w:r>
          </w:p>
        </w:tc>
      </w:tr>
      <w:tr w:rsidR="003826EB" w:rsidRPr="003826EB" w:rsidTr="003826EB">
        <w:trPr>
          <w:trHeight w:val="63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Dokumen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Dokumen</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Wawancara</w:t>
            </w:r>
          </w:p>
        </w:tc>
      </w:tr>
      <w:tr w:rsidR="003826EB" w:rsidRPr="003826EB" w:rsidTr="003826EB">
        <w:trPr>
          <w:trHeight w:val="2505"/>
        </w:trPr>
        <w:tc>
          <w:tcPr>
            <w:tcW w:w="714" w:type="dxa"/>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FVIc1</w:t>
            </w:r>
          </w:p>
        </w:tc>
        <w:tc>
          <w:tcPr>
            <w:tcW w:w="146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Tingkat deforestasi di lokasi assesmen </w:t>
            </w:r>
          </w:p>
        </w:tc>
        <w:tc>
          <w:tcPr>
            <w:tcW w:w="179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Kehutanan</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 Laporan Akhir (final report) hasil pengumpulan data/informasi/peta dalam rangka penetapan kabupaten/kota prioritas lokasi demonstration activities (da) REDD+  provinsi sulawesi tengah, 2012 </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3</w:t>
            </w:r>
          </w:p>
        </w:tc>
        <w:tc>
          <w:tcPr>
            <w:tcW w:w="2073"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r>
      <w:tr w:rsidR="003826EB" w:rsidRPr="003826EB" w:rsidTr="003826EB">
        <w:trPr>
          <w:trHeight w:val="180"/>
        </w:trPr>
        <w:tc>
          <w:tcPr>
            <w:tcW w:w="71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469"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2073"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375"/>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Indikator</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6903" w:type="dxa"/>
            <w:gridSpan w:val="5"/>
            <w:tcBorders>
              <w:top w:val="nil"/>
              <w:left w:val="nil"/>
              <w:bottom w:val="nil"/>
              <w:right w:val="nil"/>
            </w:tcBorders>
            <w:shd w:val="clear" w:color="auto" w:fill="auto"/>
            <w:hideMark/>
          </w:tcPr>
          <w:p w:rsidR="003826EB" w:rsidRPr="003826EB" w:rsidRDefault="003826EB" w:rsidP="003826EB">
            <w:pPr>
              <w:spacing w:after="24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d. Tingkat degradasi hutan di lokasi assesmen</w:t>
            </w:r>
          </w:p>
        </w:tc>
      </w:tr>
      <w:tr w:rsidR="003826EB" w:rsidRPr="003826EB" w:rsidTr="003826EB">
        <w:trPr>
          <w:trHeight w:val="39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informasi</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single" w:sz="4" w:space="0" w:color="auto"/>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Kementerian &amp; Dinas Kehutanan</w:t>
            </w:r>
          </w:p>
        </w:tc>
      </w:tr>
      <w:tr w:rsidR="003826EB" w:rsidRPr="003826EB" w:rsidTr="003826E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Dokumen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Dokumen</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Wawancara</w:t>
            </w:r>
          </w:p>
        </w:tc>
      </w:tr>
      <w:tr w:rsidR="003826EB" w:rsidRPr="003826EB" w:rsidTr="003826EB">
        <w:trPr>
          <w:trHeight w:val="3030"/>
        </w:trPr>
        <w:tc>
          <w:tcPr>
            <w:tcW w:w="714" w:type="dxa"/>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lastRenderedPageBreak/>
              <w:t>FVId1</w:t>
            </w:r>
          </w:p>
        </w:tc>
        <w:tc>
          <w:tcPr>
            <w:tcW w:w="146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Tingkat degradasi hutan di lokasi assesmen </w:t>
            </w:r>
          </w:p>
        </w:tc>
        <w:tc>
          <w:tcPr>
            <w:tcW w:w="179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Kehutanan</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 Laporan Akhir (final report) hasil pengumpulan data/informasi/peta dalam rangka penetapan kabupaten/kota prioritas lokasi demonstration activities (da) REDD+  provinsi sulawesi tengah, 2012</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3</w:t>
            </w:r>
          </w:p>
        </w:tc>
        <w:tc>
          <w:tcPr>
            <w:tcW w:w="2073"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r>
      <w:tr w:rsidR="003826EB" w:rsidRPr="003826EB" w:rsidTr="003826EB">
        <w:trPr>
          <w:trHeight w:val="255"/>
        </w:trPr>
        <w:tc>
          <w:tcPr>
            <w:tcW w:w="71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469"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c>
          <w:tcPr>
            <w:tcW w:w="2073"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p>
        </w:tc>
      </w:tr>
      <w:tr w:rsidR="003826EB" w:rsidRPr="003826EB" w:rsidTr="003826EB">
        <w:trPr>
          <w:trHeight w:val="600"/>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Indikator</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p>
        </w:tc>
        <w:tc>
          <w:tcPr>
            <w:tcW w:w="6903" w:type="dxa"/>
            <w:gridSpan w:val="5"/>
            <w:tcBorders>
              <w:top w:val="nil"/>
              <w:left w:val="nil"/>
              <w:bottom w:val="nil"/>
              <w:right w:val="nil"/>
            </w:tcBorders>
            <w:shd w:val="clear" w:color="auto" w:fill="auto"/>
            <w:hideMark/>
          </w:tcPr>
          <w:p w:rsidR="003826EB" w:rsidRPr="003826EB" w:rsidRDefault="003826EB" w:rsidP="003826EB">
            <w:pPr>
              <w:spacing w:after="24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xml:space="preserve">: e. Jumlah kawasan yang dikelola secara berkelanjutan oleh pelaku pengelolaan hutan dalam pelaksanaan </w:t>
            </w:r>
            <w:r w:rsidRPr="003826EB">
              <w:rPr>
                <w:rFonts w:ascii="Times New Roman" w:eastAsia="Times New Roman" w:hAnsi="Times New Roman" w:cs="Times New Roman"/>
                <w:b/>
                <w:bCs/>
                <w:color w:val="000000"/>
                <w:sz w:val="20"/>
                <w:szCs w:val="20"/>
                <w:lang w:eastAsia="id-ID"/>
              </w:rPr>
              <w:br/>
              <w:t xml:space="preserve">  REDD+ (demonstration ativities)</w:t>
            </w:r>
            <w:r w:rsidRPr="003826EB">
              <w:rPr>
                <w:rFonts w:ascii="Times New Roman" w:eastAsia="Times New Roman" w:hAnsi="Times New Roman" w:cs="Times New Roman"/>
                <w:b/>
                <w:bCs/>
                <w:color w:val="000000"/>
                <w:sz w:val="20"/>
                <w:szCs w:val="20"/>
                <w:lang w:eastAsia="id-ID"/>
              </w:rPr>
              <w:br/>
            </w:r>
          </w:p>
        </w:tc>
      </w:tr>
      <w:tr w:rsidR="003826EB" w:rsidRPr="003826EB" w:rsidTr="003826EB">
        <w:trPr>
          <w:trHeight w:val="375"/>
        </w:trPr>
        <w:tc>
          <w:tcPr>
            <w:tcW w:w="2183" w:type="dxa"/>
            <w:gridSpan w:val="2"/>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informasi</w:t>
            </w:r>
          </w:p>
        </w:tc>
        <w:tc>
          <w:tcPr>
            <w:tcW w:w="1799" w:type="dxa"/>
            <w:tcBorders>
              <w:top w:val="nil"/>
              <w:left w:val="nil"/>
              <w:bottom w:val="nil"/>
              <w:right w:val="nil"/>
            </w:tcBorders>
            <w:shd w:val="clear" w:color="auto" w:fill="auto"/>
            <w:noWrap/>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p>
        </w:tc>
        <w:tc>
          <w:tcPr>
            <w:tcW w:w="6903" w:type="dxa"/>
            <w:gridSpan w:val="5"/>
            <w:tcBorders>
              <w:top w:val="nil"/>
              <w:left w:val="nil"/>
              <w:bottom w:val="single" w:sz="4" w:space="0" w:color="auto"/>
              <w:right w:val="nil"/>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 Kementerian &amp; Dinas Kehutanan</w:t>
            </w:r>
          </w:p>
        </w:tc>
      </w:tr>
      <w:tr w:rsidR="003826EB" w:rsidRPr="003826EB" w:rsidTr="003826EB">
        <w:trPr>
          <w:trHeight w:val="645"/>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Kode</w:t>
            </w:r>
          </w:p>
        </w:tc>
        <w:tc>
          <w:tcPr>
            <w:tcW w:w="146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Panduan Analisis Dokumen</w:t>
            </w:r>
          </w:p>
        </w:tc>
        <w:tc>
          <w:tcPr>
            <w:tcW w:w="1799" w:type="dxa"/>
            <w:tcBorders>
              <w:top w:val="single" w:sz="4" w:space="0" w:color="auto"/>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Sumber Data</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Dokumen</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Dokumen</w:t>
            </w:r>
          </w:p>
        </w:tc>
        <w:tc>
          <w:tcPr>
            <w:tcW w:w="2073"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b/>
                <w:bCs/>
                <w:color w:val="000000"/>
                <w:sz w:val="20"/>
                <w:szCs w:val="20"/>
                <w:lang w:eastAsia="id-ID"/>
              </w:rPr>
            </w:pPr>
            <w:r w:rsidRPr="003826EB">
              <w:rPr>
                <w:rFonts w:ascii="Times New Roman" w:eastAsia="Times New Roman" w:hAnsi="Times New Roman" w:cs="Times New Roman"/>
                <w:b/>
                <w:bCs/>
                <w:color w:val="000000"/>
                <w:sz w:val="20"/>
                <w:szCs w:val="20"/>
                <w:lang w:eastAsia="id-ID"/>
              </w:rPr>
              <w:t>Kategori Data Wawancara</w:t>
            </w:r>
          </w:p>
        </w:tc>
      </w:tr>
      <w:tr w:rsidR="003826EB" w:rsidRPr="003826EB" w:rsidTr="003826EB">
        <w:trPr>
          <w:trHeight w:val="1380"/>
        </w:trPr>
        <w:tc>
          <w:tcPr>
            <w:tcW w:w="714" w:type="dxa"/>
            <w:tcBorders>
              <w:top w:val="nil"/>
              <w:left w:val="single" w:sz="4" w:space="0" w:color="auto"/>
              <w:bottom w:val="single" w:sz="4" w:space="0" w:color="auto"/>
              <w:right w:val="single" w:sz="4" w:space="0" w:color="auto"/>
            </w:tcBorders>
            <w:shd w:val="clear" w:color="auto" w:fill="auto"/>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FVIe1</w:t>
            </w:r>
          </w:p>
        </w:tc>
        <w:tc>
          <w:tcPr>
            <w:tcW w:w="146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xml:space="preserve">Jumlah kawasan yang dikelola secara berkelanjutan oleh pelaku pengelolaan hutan dalam pelaksanaan REDD+ (demonstration ativities) </w:t>
            </w:r>
          </w:p>
        </w:tc>
        <w:tc>
          <w:tcPr>
            <w:tcW w:w="1799"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Kehutanan</w:t>
            </w:r>
          </w:p>
        </w:tc>
        <w:tc>
          <w:tcPr>
            <w:tcW w:w="1186"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SK Gub No. 522/330/2012 tentang DA REDD+</w:t>
            </w:r>
          </w:p>
        </w:tc>
        <w:tc>
          <w:tcPr>
            <w:tcW w:w="1188" w:type="dxa"/>
            <w:tcBorders>
              <w:top w:val="nil"/>
              <w:left w:val="nil"/>
              <w:bottom w:val="single" w:sz="4" w:space="0" w:color="auto"/>
              <w:right w:val="single" w:sz="4" w:space="0" w:color="auto"/>
            </w:tcBorders>
            <w:shd w:val="clear" w:color="auto" w:fill="auto"/>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2</w:t>
            </w:r>
          </w:p>
        </w:tc>
        <w:tc>
          <w:tcPr>
            <w:tcW w:w="2073" w:type="dxa"/>
            <w:tcBorders>
              <w:top w:val="nil"/>
              <w:left w:val="nil"/>
              <w:bottom w:val="single" w:sz="4" w:space="0" w:color="auto"/>
              <w:right w:val="single" w:sz="4" w:space="0" w:color="auto"/>
            </w:tcBorders>
            <w:shd w:val="clear" w:color="000000" w:fill="000000"/>
            <w:hideMark/>
          </w:tcPr>
          <w:p w:rsidR="003826EB" w:rsidRPr="003826EB" w:rsidRDefault="003826EB" w:rsidP="003826EB">
            <w:pPr>
              <w:spacing w:after="0" w:line="240" w:lineRule="auto"/>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3826EB" w:rsidRPr="003826EB" w:rsidRDefault="003826EB" w:rsidP="003826EB">
            <w:pPr>
              <w:spacing w:after="0" w:line="240" w:lineRule="auto"/>
              <w:jc w:val="center"/>
              <w:rPr>
                <w:rFonts w:ascii="Times New Roman" w:eastAsia="Times New Roman" w:hAnsi="Times New Roman" w:cs="Times New Roman"/>
                <w:color w:val="000000"/>
                <w:sz w:val="20"/>
                <w:szCs w:val="20"/>
                <w:lang w:eastAsia="id-ID"/>
              </w:rPr>
            </w:pPr>
            <w:r w:rsidRPr="003826EB">
              <w:rPr>
                <w:rFonts w:ascii="Times New Roman" w:eastAsia="Times New Roman" w:hAnsi="Times New Roman" w:cs="Times New Roman"/>
                <w:color w:val="000000"/>
                <w:sz w:val="20"/>
                <w:szCs w:val="20"/>
                <w:lang w:eastAsia="id-ID"/>
              </w:rPr>
              <w:t> </w:t>
            </w:r>
          </w:p>
        </w:tc>
      </w:tr>
    </w:tbl>
    <w:p w:rsidR="003826EB" w:rsidRDefault="003826EB"/>
    <w:sectPr w:rsidR="003826EB"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3826EB"/>
    <w:rsid w:val="004165D1"/>
    <w:rsid w:val="004570C7"/>
    <w:rsid w:val="005D2D3D"/>
    <w:rsid w:val="006E5970"/>
    <w:rsid w:val="009F3E98"/>
    <w:rsid w:val="00A91768"/>
    <w:rsid w:val="00AC6778"/>
    <w:rsid w:val="00BB5203"/>
    <w:rsid w:val="00C622FE"/>
    <w:rsid w:val="00D74DB4"/>
    <w:rsid w:val="00D9058A"/>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C622FE"/>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C622FE"/>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1">
    <w:name w:val="xl111"/>
    <w:basedOn w:val="Normal"/>
    <w:rsid w:val="00C622F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C622F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C622FE"/>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C622FE"/>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C622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FF00"/>
      <w:sz w:val="20"/>
      <w:szCs w:val="20"/>
      <w:lang w:eastAsia="id-ID"/>
    </w:rPr>
  </w:style>
  <w:style w:type="paragraph" w:customStyle="1" w:styleId="xl116">
    <w:name w:val="xl116"/>
    <w:basedOn w:val="Normal"/>
    <w:rsid w:val="00C622F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C622FE"/>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8">
    <w:name w:val="xl118"/>
    <w:basedOn w:val="Normal"/>
    <w:rsid w:val="00C622F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7">
    <w:name w:val="font7"/>
    <w:basedOn w:val="Normal"/>
    <w:rsid w:val="003826EB"/>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8">
    <w:name w:val="font8"/>
    <w:basedOn w:val="Normal"/>
    <w:rsid w:val="003826EB"/>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9">
    <w:name w:val="xl119"/>
    <w:basedOn w:val="Normal"/>
    <w:rsid w:val="003826E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20">
    <w:name w:val="xl120"/>
    <w:basedOn w:val="Normal"/>
    <w:rsid w:val="003826E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21">
    <w:name w:val="xl121"/>
    <w:basedOn w:val="Normal"/>
    <w:rsid w:val="003826EB"/>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22">
    <w:name w:val="xl122"/>
    <w:basedOn w:val="Normal"/>
    <w:rsid w:val="003826EB"/>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23">
    <w:name w:val="xl123"/>
    <w:basedOn w:val="Normal"/>
    <w:rsid w:val="003826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4">
    <w:name w:val="xl124"/>
    <w:basedOn w:val="Normal"/>
    <w:rsid w:val="003826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FFFF00"/>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446438015">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021738194">
      <w:bodyDiv w:val="1"/>
      <w:marLeft w:val="0"/>
      <w:marRight w:val="0"/>
      <w:marTop w:val="0"/>
      <w:marBottom w:val="0"/>
      <w:divBdr>
        <w:top w:val="none" w:sz="0" w:space="0" w:color="auto"/>
        <w:left w:val="none" w:sz="0" w:space="0" w:color="auto"/>
        <w:bottom w:val="none" w:sz="0" w:space="0" w:color="auto"/>
        <w:right w:val="none" w:sz="0" w:space="0" w:color="auto"/>
      </w:divBdr>
    </w:div>
    <w:div w:id="157647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24</Pages>
  <Words>5998</Words>
  <Characters>34193</Characters>
  <Application>Microsoft Office Word</Application>
  <DocSecurity>0</DocSecurity>
  <Lines>284</Lines>
  <Paragraphs>80</Paragraphs>
  <ScaleCrop>false</ScaleCrop>
  <Company/>
  <LinksUpToDate>false</LinksUpToDate>
  <CharactersWithSpaces>40111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2012-10-16T10:42:00Z</dcterms:modified>
</cp:coreProperties>
</file>